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4E6C2" w14:textId="13130C41" w:rsidR="00492DF5" w:rsidRPr="00BA4A8A" w:rsidRDefault="00FB6D1E" w:rsidP="00FB6D1E">
      <w:pPr>
        <w:jc w:val="center"/>
        <w:rPr>
          <w:rFonts w:ascii="Times New Roman" w:hAnsi="Times New Roman" w:cs="Times New Roman"/>
          <w:sz w:val="24"/>
          <w:szCs w:val="24"/>
        </w:rPr>
      </w:pPr>
      <w:r w:rsidRPr="00BA4A8A">
        <w:rPr>
          <w:rFonts w:ascii="Times New Roman" w:hAnsi="Times New Roman" w:cs="Times New Roman"/>
          <w:noProof/>
          <w:sz w:val="24"/>
          <w:szCs w:val="24"/>
        </w:rPr>
        <w:drawing>
          <wp:inline distT="0" distB="0" distL="0" distR="0" wp14:anchorId="5CC9D328" wp14:editId="00383960">
            <wp:extent cx="2876550" cy="989330"/>
            <wp:effectExtent l="0" t="0" r="0" b="1270"/>
            <wp:docPr id="1" name="Pilt 1" descr="Pilt, millel on kujutatud teks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Pilt, millel on kujutatud tekst&#10;&#10;Kirjeldus on genereeritud automaatsel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989330"/>
                    </a:xfrm>
                    <a:prstGeom prst="rect">
                      <a:avLst/>
                    </a:prstGeom>
                    <a:noFill/>
                    <a:ln>
                      <a:noFill/>
                    </a:ln>
                  </pic:spPr>
                </pic:pic>
              </a:graphicData>
            </a:graphic>
          </wp:inline>
        </w:drawing>
      </w:r>
    </w:p>
    <w:p w14:paraId="56693DB0" w14:textId="77777777" w:rsidR="00FB6D1E" w:rsidRPr="00BA4A8A" w:rsidRDefault="00FB6D1E" w:rsidP="00FB6D1E">
      <w:pPr>
        <w:jc w:val="center"/>
        <w:rPr>
          <w:rFonts w:ascii="Times New Roman" w:hAnsi="Times New Roman" w:cs="Times New Roman"/>
          <w:b/>
          <w:bCs/>
          <w:sz w:val="24"/>
          <w:szCs w:val="24"/>
          <w:lang w:val="en-GB"/>
        </w:rPr>
      </w:pPr>
    </w:p>
    <w:p w14:paraId="62CC8B00" w14:textId="6360836A" w:rsidR="00FB6D1E" w:rsidRPr="00324934" w:rsidRDefault="00FB6D1E" w:rsidP="0066690A">
      <w:pPr>
        <w:spacing w:line="276" w:lineRule="auto"/>
        <w:jc w:val="center"/>
        <w:rPr>
          <w:rFonts w:ascii="Cambria" w:hAnsi="Cambria" w:cs="Times New Roman"/>
          <w:b/>
          <w:bCs/>
          <w:sz w:val="24"/>
          <w:szCs w:val="24"/>
          <w:lang w:val="en-GB"/>
        </w:rPr>
      </w:pPr>
      <w:r w:rsidRPr="00324934">
        <w:rPr>
          <w:rFonts w:ascii="Cambria" w:hAnsi="Cambria" w:cs="Times New Roman"/>
          <w:b/>
          <w:bCs/>
          <w:sz w:val="24"/>
          <w:szCs w:val="24"/>
          <w:lang w:val="en-GB"/>
        </w:rPr>
        <w:t>NETWORK OF THE PRESIDENTS OF THE SUPREME JUDICIAL COURTS OF THE EUROPEAN UNION</w:t>
      </w:r>
    </w:p>
    <w:p w14:paraId="50E0376D" w14:textId="289895C6" w:rsidR="007F7305" w:rsidRPr="00324934" w:rsidRDefault="00FB6D1E" w:rsidP="0066690A">
      <w:pPr>
        <w:spacing w:line="276" w:lineRule="auto"/>
        <w:jc w:val="center"/>
        <w:rPr>
          <w:rFonts w:ascii="Cambria" w:hAnsi="Cambria" w:cs="Times New Roman"/>
          <w:b/>
          <w:bCs/>
          <w:sz w:val="24"/>
          <w:szCs w:val="24"/>
          <w:lang w:val="en-GB"/>
        </w:rPr>
      </w:pPr>
      <w:r w:rsidRPr="00324934">
        <w:rPr>
          <w:rFonts w:ascii="Cambria" w:hAnsi="Cambria" w:cs="Times New Roman"/>
          <w:b/>
          <w:bCs/>
          <w:sz w:val="24"/>
          <w:szCs w:val="24"/>
          <w:lang w:val="en-GB"/>
        </w:rPr>
        <w:t xml:space="preserve">JOINT MEETING WITH THE COURT OF JUSTICE OF THE EUROPEAN UNION </w:t>
      </w:r>
    </w:p>
    <w:p w14:paraId="1193E93D" w14:textId="20FACEE7" w:rsidR="00FB6D1E" w:rsidRPr="00324934" w:rsidRDefault="00FB6D1E" w:rsidP="0066690A">
      <w:pPr>
        <w:spacing w:line="276" w:lineRule="auto"/>
        <w:jc w:val="center"/>
        <w:rPr>
          <w:rFonts w:ascii="Cambria" w:eastAsia="Dotum" w:hAnsi="Cambria" w:cs="Times New Roman"/>
          <w:b/>
          <w:bCs/>
          <w:sz w:val="24"/>
          <w:szCs w:val="24"/>
          <w:lang w:val="en-GB"/>
        </w:rPr>
      </w:pPr>
      <w:r w:rsidRPr="00324934">
        <w:rPr>
          <w:rFonts w:ascii="Cambria" w:eastAsia="Dotum" w:hAnsi="Cambria" w:cs="Times New Roman"/>
          <w:b/>
          <w:bCs/>
          <w:sz w:val="24"/>
          <w:szCs w:val="24"/>
          <w:lang w:val="en-GB"/>
        </w:rPr>
        <w:t>28 MARCH 2025</w:t>
      </w:r>
    </w:p>
    <w:p w14:paraId="366377E1" w14:textId="44BB43B0" w:rsidR="007F7305" w:rsidRPr="00324934" w:rsidRDefault="00FB6D1E" w:rsidP="0066690A">
      <w:pPr>
        <w:spacing w:line="276" w:lineRule="auto"/>
        <w:jc w:val="center"/>
        <w:rPr>
          <w:rFonts w:ascii="Cambria" w:eastAsia="Dotum" w:hAnsi="Cambria" w:cs="Times New Roman"/>
          <w:b/>
          <w:bCs/>
          <w:sz w:val="24"/>
          <w:szCs w:val="24"/>
          <w:lang w:val="en-GB"/>
        </w:rPr>
      </w:pPr>
      <w:r w:rsidRPr="00324934">
        <w:rPr>
          <w:rFonts w:ascii="Cambria" w:eastAsia="Dotum" w:hAnsi="Cambria" w:cs="Times New Roman"/>
          <w:b/>
          <w:bCs/>
          <w:sz w:val="24"/>
          <w:szCs w:val="24"/>
          <w:lang w:val="en-GB"/>
        </w:rPr>
        <w:t>LUXEMBOURG</w:t>
      </w:r>
    </w:p>
    <w:p w14:paraId="5BB7B95D" w14:textId="239EAE73" w:rsidR="00FB6D1E" w:rsidRPr="00324934" w:rsidRDefault="00FB6D1E" w:rsidP="0066690A">
      <w:pPr>
        <w:spacing w:line="276" w:lineRule="auto"/>
        <w:jc w:val="center"/>
        <w:rPr>
          <w:rFonts w:ascii="Cambria" w:eastAsia="Times New Roman" w:hAnsi="Cambria" w:cs="Times New Roman"/>
          <w:b/>
          <w:bCs/>
          <w:sz w:val="24"/>
          <w:szCs w:val="24"/>
          <w:lang w:val="en-GB"/>
        </w:rPr>
      </w:pPr>
      <w:r w:rsidRPr="00324934">
        <w:rPr>
          <w:rFonts w:ascii="Cambria" w:eastAsia="Dotum" w:hAnsi="Cambria" w:cs="Times New Roman"/>
          <w:b/>
          <w:bCs/>
          <w:sz w:val="24"/>
          <w:szCs w:val="24"/>
          <w:lang w:val="en-GB"/>
        </w:rPr>
        <w:t xml:space="preserve">Topic 1: </w:t>
      </w:r>
      <w:r w:rsidRPr="00324934">
        <w:rPr>
          <w:rFonts w:ascii="Cambria" w:eastAsia="Times New Roman" w:hAnsi="Cambria" w:cs="Times New Roman"/>
          <w:b/>
          <w:bCs/>
          <w:sz w:val="24"/>
          <w:szCs w:val="24"/>
          <w:lang w:val="en-GB"/>
        </w:rPr>
        <w:t>“The independence of the judiciary within the European Union:</w:t>
      </w:r>
      <w:r w:rsidR="00613195" w:rsidRPr="00324934">
        <w:rPr>
          <w:rFonts w:ascii="Cambria" w:eastAsia="Times New Roman" w:hAnsi="Cambria" w:cs="Times New Roman"/>
          <w:b/>
          <w:bCs/>
          <w:sz w:val="24"/>
          <w:szCs w:val="24"/>
          <w:lang w:val="en-GB"/>
        </w:rPr>
        <w:t xml:space="preserve"> </w:t>
      </w:r>
      <w:r w:rsidR="00884D52" w:rsidRPr="00324934">
        <w:rPr>
          <w:rFonts w:ascii="Cambria" w:eastAsia="Times New Roman" w:hAnsi="Cambria" w:cs="Times New Roman"/>
          <w:b/>
          <w:bCs/>
          <w:sz w:val="24"/>
          <w:szCs w:val="24"/>
          <w:lang w:val="en-GB"/>
        </w:rPr>
        <w:t>a shared responsibility</w:t>
      </w:r>
      <w:r w:rsidRPr="00324934">
        <w:rPr>
          <w:rFonts w:ascii="Cambria" w:eastAsia="Times New Roman" w:hAnsi="Cambria" w:cs="Times New Roman"/>
          <w:b/>
          <w:bCs/>
          <w:sz w:val="24"/>
          <w:szCs w:val="24"/>
          <w:lang w:val="en-GB"/>
        </w:rPr>
        <w:t>”</w:t>
      </w:r>
    </w:p>
    <w:p w14:paraId="45AE6602" w14:textId="77777777" w:rsidR="005A0233" w:rsidRPr="00324934" w:rsidRDefault="005A0233" w:rsidP="0066690A">
      <w:pPr>
        <w:spacing w:line="276" w:lineRule="auto"/>
        <w:jc w:val="center"/>
        <w:rPr>
          <w:rFonts w:ascii="Cambria" w:hAnsi="Cambria" w:cs="Times New Roman"/>
          <w:b/>
          <w:bCs/>
          <w:sz w:val="24"/>
          <w:szCs w:val="24"/>
        </w:rPr>
      </w:pPr>
    </w:p>
    <w:p w14:paraId="21184A27" w14:textId="13F55444" w:rsidR="00FB6D1E" w:rsidRPr="00324934" w:rsidRDefault="00FB6D1E" w:rsidP="0066690A">
      <w:pPr>
        <w:spacing w:line="276" w:lineRule="auto"/>
        <w:jc w:val="center"/>
        <w:rPr>
          <w:rFonts w:ascii="Cambria" w:hAnsi="Cambria" w:cs="Times New Roman"/>
          <w:b/>
          <w:bCs/>
          <w:sz w:val="24"/>
          <w:szCs w:val="24"/>
        </w:rPr>
      </w:pPr>
      <w:r w:rsidRPr="00324934">
        <w:rPr>
          <w:rFonts w:ascii="Cambria" w:hAnsi="Cambria" w:cs="Times New Roman"/>
          <w:b/>
          <w:bCs/>
          <w:sz w:val="24"/>
          <w:szCs w:val="24"/>
        </w:rPr>
        <w:t>QUESTIONNAIRE</w:t>
      </w:r>
    </w:p>
    <w:p w14:paraId="355F6AFF" w14:textId="77777777" w:rsidR="007F7305" w:rsidRPr="00BA4A8A" w:rsidRDefault="007F7305" w:rsidP="00FB7BD2">
      <w:pPr>
        <w:pStyle w:val="NoSpacing"/>
        <w:rPr>
          <w:rFonts w:ascii="Times New Roman" w:hAnsi="Times New Roman" w:cs="Times New Roman"/>
          <w:sz w:val="24"/>
          <w:szCs w:val="24"/>
        </w:rPr>
      </w:pPr>
    </w:p>
    <w:p w14:paraId="7A13EE3C" w14:textId="62EC5568" w:rsidR="0066690A" w:rsidRPr="00BA4A8A" w:rsidRDefault="0066690A" w:rsidP="00556DCE">
      <w:pPr>
        <w:pStyle w:val="ListParagraph"/>
        <w:numPr>
          <w:ilvl w:val="0"/>
          <w:numId w:val="1"/>
        </w:numPr>
        <w:spacing w:line="480" w:lineRule="auto"/>
        <w:jc w:val="both"/>
        <w:rPr>
          <w:rFonts w:ascii="Times New Roman" w:hAnsi="Times New Roman" w:cs="Times New Roman"/>
          <w:b/>
          <w:bCs/>
          <w:i/>
          <w:iCs/>
          <w:sz w:val="24"/>
          <w:szCs w:val="24"/>
        </w:rPr>
      </w:pPr>
      <w:r w:rsidRPr="00BA4A8A">
        <w:rPr>
          <w:rFonts w:ascii="Times New Roman" w:hAnsi="Times New Roman" w:cs="Times New Roman"/>
          <w:b/>
          <w:bCs/>
          <w:i/>
          <w:iCs/>
          <w:sz w:val="24"/>
          <w:szCs w:val="24"/>
        </w:rPr>
        <w:t>Introduction</w:t>
      </w:r>
    </w:p>
    <w:p w14:paraId="7C51EEF6" w14:textId="33E5C30F" w:rsidR="00A00F9B" w:rsidRPr="00BA4A8A" w:rsidRDefault="00D01CEE" w:rsidP="00A00F9B">
      <w:pPr>
        <w:pStyle w:val="ListParagraph"/>
        <w:numPr>
          <w:ilvl w:val="0"/>
          <w:numId w:val="4"/>
        </w:numPr>
        <w:spacing w:line="240" w:lineRule="auto"/>
        <w:jc w:val="both"/>
        <w:rPr>
          <w:rFonts w:ascii="Times New Roman" w:hAnsi="Times New Roman" w:cs="Times New Roman"/>
          <w:sz w:val="24"/>
          <w:szCs w:val="24"/>
        </w:rPr>
      </w:pPr>
      <w:r w:rsidRPr="00BA4A8A">
        <w:rPr>
          <w:rFonts w:ascii="Times New Roman" w:hAnsi="Times New Roman" w:cs="Times New Roman"/>
          <w:sz w:val="24"/>
          <w:szCs w:val="24"/>
        </w:rPr>
        <w:t>T</w:t>
      </w:r>
      <w:r w:rsidR="007901F7" w:rsidRPr="00BA4A8A">
        <w:rPr>
          <w:rFonts w:ascii="Times New Roman" w:hAnsi="Times New Roman" w:cs="Times New Roman"/>
          <w:sz w:val="24"/>
          <w:szCs w:val="24"/>
        </w:rPr>
        <w:t xml:space="preserve">he rule of law </w:t>
      </w:r>
      <w:r w:rsidRPr="00BA4A8A">
        <w:rPr>
          <w:rFonts w:ascii="Times New Roman" w:hAnsi="Times New Roman" w:cs="Times New Roman"/>
          <w:sz w:val="24"/>
          <w:szCs w:val="24"/>
        </w:rPr>
        <w:t>is one of the</w:t>
      </w:r>
      <w:r w:rsidR="007901F7" w:rsidRPr="00BA4A8A">
        <w:rPr>
          <w:rFonts w:ascii="Times New Roman" w:hAnsi="Times New Roman" w:cs="Times New Roman"/>
          <w:sz w:val="24"/>
          <w:szCs w:val="24"/>
        </w:rPr>
        <w:t xml:space="preserve"> shared values enshrined in Article 2 TEU.  Access to justice by independent and impartial courts is a key component of the rule of law. </w:t>
      </w:r>
      <w:r w:rsidR="001245C3" w:rsidRPr="00BA4A8A">
        <w:rPr>
          <w:rFonts w:ascii="Times New Roman" w:hAnsi="Times New Roman" w:cs="Times New Roman"/>
          <w:sz w:val="24"/>
          <w:szCs w:val="24"/>
        </w:rPr>
        <w:t xml:space="preserve">Upholding </w:t>
      </w:r>
      <w:r w:rsidR="007901F7" w:rsidRPr="00BA4A8A">
        <w:rPr>
          <w:rFonts w:ascii="Times New Roman" w:hAnsi="Times New Roman" w:cs="Times New Roman"/>
          <w:sz w:val="24"/>
          <w:szCs w:val="24"/>
        </w:rPr>
        <w:t xml:space="preserve">the rule of law in all Member States is of concern to each Member State as it is necessary for the effective application of EU law, mutual trust between Member States, the operation of the EU </w:t>
      </w:r>
      <w:proofErr w:type="gramStart"/>
      <w:r w:rsidR="007901F7" w:rsidRPr="00BA4A8A">
        <w:rPr>
          <w:rFonts w:ascii="Times New Roman" w:hAnsi="Times New Roman" w:cs="Times New Roman"/>
          <w:sz w:val="24"/>
          <w:szCs w:val="24"/>
        </w:rPr>
        <w:t>in the area of</w:t>
      </w:r>
      <w:proofErr w:type="gramEnd"/>
      <w:r w:rsidR="007901F7" w:rsidRPr="00BA4A8A">
        <w:rPr>
          <w:rFonts w:ascii="Times New Roman" w:hAnsi="Times New Roman" w:cs="Times New Roman"/>
          <w:sz w:val="24"/>
          <w:szCs w:val="24"/>
        </w:rPr>
        <w:t xml:space="preserve"> freedom, security and justice and the internal market.</w:t>
      </w:r>
      <w:r w:rsidR="00A00F9B" w:rsidRPr="00BA4A8A">
        <w:rPr>
          <w:rFonts w:ascii="Times New Roman" w:hAnsi="Times New Roman" w:cs="Times New Roman"/>
          <w:sz w:val="24"/>
          <w:szCs w:val="24"/>
        </w:rPr>
        <w:t xml:space="preserve">  As judicial systems face evolving challenges, from safeguarding autonomy to addressing public perceptions of justice, maintaining and strengthening judicial independence remains vital for upholding constitutional principles and the integrity of the legal order.</w:t>
      </w:r>
    </w:p>
    <w:p w14:paraId="1F488050" w14:textId="6E495BA9" w:rsidR="007901F7" w:rsidRPr="00BA4A8A" w:rsidRDefault="007901F7" w:rsidP="00613195">
      <w:pPr>
        <w:pStyle w:val="ListParagraph"/>
        <w:spacing w:line="240" w:lineRule="auto"/>
        <w:jc w:val="both"/>
        <w:rPr>
          <w:rFonts w:ascii="Times New Roman" w:hAnsi="Times New Roman" w:cs="Times New Roman"/>
          <w:sz w:val="24"/>
          <w:szCs w:val="24"/>
        </w:rPr>
      </w:pPr>
    </w:p>
    <w:p w14:paraId="3B6F3F99" w14:textId="77777777" w:rsidR="007901F7" w:rsidRPr="00BA4A8A" w:rsidRDefault="007901F7" w:rsidP="00613195">
      <w:pPr>
        <w:pStyle w:val="ListParagraph"/>
        <w:spacing w:line="240" w:lineRule="auto"/>
        <w:jc w:val="both"/>
        <w:rPr>
          <w:rFonts w:ascii="Times New Roman" w:hAnsi="Times New Roman" w:cs="Times New Roman"/>
          <w:sz w:val="24"/>
          <w:szCs w:val="24"/>
        </w:rPr>
      </w:pPr>
    </w:p>
    <w:p w14:paraId="1536AF40" w14:textId="7E952D90" w:rsidR="007901F7" w:rsidRPr="00BA4A8A" w:rsidRDefault="007901F7" w:rsidP="005D3BEB">
      <w:pPr>
        <w:pStyle w:val="ListParagraph"/>
        <w:numPr>
          <w:ilvl w:val="0"/>
          <w:numId w:val="4"/>
        </w:numPr>
        <w:spacing w:line="240" w:lineRule="auto"/>
        <w:jc w:val="both"/>
        <w:rPr>
          <w:rFonts w:ascii="Times New Roman" w:hAnsi="Times New Roman" w:cs="Times New Roman"/>
          <w:sz w:val="24"/>
          <w:szCs w:val="24"/>
        </w:rPr>
      </w:pPr>
      <w:r w:rsidRPr="00BA4A8A">
        <w:rPr>
          <w:rFonts w:ascii="Times New Roman" w:hAnsi="Times New Roman" w:cs="Times New Roman"/>
          <w:sz w:val="24"/>
          <w:szCs w:val="24"/>
        </w:rPr>
        <w:t xml:space="preserve">As guardian of the Treaties, the European Commission has responsibility for promoting and upholding the rule of law and has available to it a Rule of Law toolbox which includes </w:t>
      </w:r>
      <w:proofErr w:type="gramStart"/>
      <w:r w:rsidRPr="00BA4A8A">
        <w:rPr>
          <w:rFonts w:ascii="Times New Roman" w:hAnsi="Times New Roman" w:cs="Times New Roman"/>
          <w:sz w:val="24"/>
          <w:szCs w:val="24"/>
        </w:rPr>
        <w:t>a number of</w:t>
      </w:r>
      <w:proofErr w:type="gramEnd"/>
      <w:r w:rsidRPr="00BA4A8A">
        <w:rPr>
          <w:rFonts w:ascii="Times New Roman" w:hAnsi="Times New Roman" w:cs="Times New Roman"/>
          <w:sz w:val="24"/>
          <w:szCs w:val="24"/>
        </w:rPr>
        <w:t xml:space="preserve"> instruments aimed at promoting the rule of law and preventing issues arising.  It also has at its disposal </w:t>
      </w:r>
      <w:r w:rsidR="00C66758" w:rsidRPr="00BA4A8A">
        <w:rPr>
          <w:rFonts w:ascii="Times New Roman" w:hAnsi="Times New Roman" w:cs="Times New Roman"/>
          <w:sz w:val="24"/>
          <w:szCs w:val="24"/>
        </w:rPr>
        <w:t xml:space="preserve">other </w:t>
      </w:r>
      <w:r w:rsidRPr="00BA4A8A">
        <w:rPr>
          <w:rFonts w:ascii="Times New Roman" w:hAnsi="Times New Roman" w:cs="Times New Roman"/>
          <w:sz w:val="24"/>
          <w:szCs w:val="24"/>
        </w:rPr>
        <w:t>instruments for responding to rule of law challenges</w:t>
      </w:r>
      <w:r w:rsidR="00F30D59">
        <w:rPr>
          <w:rFonts w:ascii="Times New Roman" w:hAnsi="Times New Roman" w:cs="Times New Roman"/>
          <w:sz w:val="24"/>
          <w:szCs w:val="24"/>
        </w:rPr>
        <w:t>, such as</w:t>
      </w:r>
      <w:r w:rsidR="00BA4A8A" w:rsidRPr="00BA4A8A">
        <w:rPr>
          <w:rFonts w:ascii="Times New Roman" w:hAnsi="Times New Roman" w:cs="Times New Roman"/>
          <w:sz w:val="24"/>
          <w:szCs w:val="24"/>
        </w:rPr>
        <w:t>:</w:t>
      </w:r>
      <w:r w:rsidR="005D3BEB" w:rsidRPr="00BA4A8A">
        <w:rPr>
          <w:rFonts w:ascii="Times New Roman" w:hAnsi="Times New Roman" w:cs="Times New Roman"/>
          <w:sz w:val="24"/>
          <w:szCs w:val="24"/>
        </w:rPr>
        <w:t xml:space="preserve"> a </w:t>
      </w:r>
      <w:r w:rsidRPr="00BA4A8A">
        <w:rPr>
          <w:rFonts w:ascii="Times New Roman" w:hAnsi="Times New Roman" w:cs="Times New Roman"/>
          <w:sz w:val="24"/>
          <w:szCs w:val="24"/>
        </w:rPr>
        <w:t>procedure under Article 7 TEU which may lead to the suspension of EU membership rights if a country seriously and persistently breaches the principles on which the EU is founded</w:t>
      </w:r>
      <w:r w:rsidR="00BA4A8A" w:rsidRPr="00BA4A8A">
        <w:rPr>
          <w:rFonts w:ascii="Times New Roman" w:hAnsi="Times New Roman" w:cs="Times New Roman"/>
          <w:sz w:val="24"/>
          <w:szCs w:val="24"/>
        </w:rPr>
        <w:t xml:space="preserve">; </w:t>
      </w:r>
      <w:r w:rsidR="00901724" w:rsidRPr="00BA4A8A">
        <w:rPr>
          <w:rFonts w:ascii="Times New Roman" w:hAnsi="Times New Roman" w:cs="Times New Roman"/>
          <w:sz w:val="24"/>
          <w:szCs w:val="24"/>
        </w:rPr>
        <w:t xml:space="preserve">a Rule of Law Framework and </w:t>
      </w:r>
      <w:r w:rsidR="009D3012" w:rsidRPr="00BA4A8A">
        <w:rPr>
          <w:rFonts w:ascii="Times New Roman" w:hAnsi="Times New Roman" w:cs="Times New Roman"/>
          <w:sz w:val="24"/>
          <w:szCs w:val="24"/>
        </w:rPr>
        <w:t>general budget conditionality.</w:t>
      </w:r>
    </w:p>
    <w:p w14:paraId="5858846B" w14:textId="77777777" w:rsidR="007901F7" w:rsidRPr="00BA4A8A" w:rsidRDefault="007901F7" w:rsidP="00613195">
      <w:pPr>
        <w:pStyle w:val="ListParagraph"/>
        <w:spacing w:line="240" w:lineRule="auto"/>
        <w:jc w:val="both"/>
        <w:rPr>
          <w:rFonts w:ascii="Times New Roman" w:hAnsi="Times New Roman" w:cs="Times New Roman"/>
          <w:sz w:val="24"/>
          <w:szCs w:val="24"/>
        </w:rPr>
      </w:pPr>
    </w:p>
    <w:p w14:paraId="339FDCAA" w14:textId="7833AE7D" w:rsidR="009315F6" w:rsidRDefault="007901F7" w:rsidP="009315F6">
      <w:pPr>
        <w:pStyle w:val="ListParagraph"/>
        <w:numPr>
          <w:ilvl w:val="0"/>
          <w:numId w:val="4"/>
        </w:numPr>
        <w:spacing w:line="240" w:lineRule="auto"/>
        <w:jc w:val="both"/>
        <w:rPr>
          <w:rFonts w:ascii="Times New Roman" w:hAnsi="Times New Roman" w:cs="Times New Roman"/>
          <w:sz w:val="24"/>
          <w:szCs w:val="24"/>
        </w:rPr>
      </w:pPr>
      <w:r w:rsidRPr="00BA4A8A">
        <w:rPr>
          <w:rFonts w:ascii="Times New Roman" w:hAnsi="Times New Roman" w:cs="Times New Roman"/>
          <w:sz w:val="24"/>
          <w:szCs w:val="24"/>
        </w:rPr>
        <w:t xml:space="preserve">Challenges to the rule of law in some EU Member States in the past decade have called into question the ability of the EU to address systemic threats to the rule of law.  </w:t>
      </w:r>
      <w:r w:rsidR="00C253DA" w:rsidRPr="00BA4A8A">
        <w:rPr>
          <w:rFonts w:ascii="Times New Roman" w:hAnsi="Times New Roman" w:cs="Times New Roman"/>
          <w:sz w:val="24"/>
          <w:szCs w:val="24"/>
        </w:rPr>
        <w:t xml:space="preserve">At judicial level, </w:t>
      </w:r>
      <w:r w:rsidR="00A31631" w:rsidRPr="00BA4A8A">
        <w:rPr>
          <w:rFonts w:ascii="Times New Roman" w:hAnsi="Times New Roman" w:cs="Times New Roman"/>
          <w:sz w:val="24"/>
          <w:szCs w:val="24"/>
        </w:rPr>
        <w:t>t</w:t>
      </w:r>
      <w:r w:rsidR="00D5330D" w:rsidRPr="00BA4A8A">
        <w:rPr>
          <w:rFonts w:ascii="Times New Roman" w:hAnsi="Times New Roman" w:cs="Times New Roman"/>
          <w:sz w:val="24"/>
          <w:szCs w:val="24"/>
        </w:rPr>
        <w:t xml:space="preserve">he Court of Justice </w:t>
      </w:r>
      <w:r w:rsidR="003461DC" w:rsidRPr="00BA4A8A">
        <w:rPr>
          <w:rFonts w:ascii="Times New Roman" w:hAnsi="Times New Roman" w:cs="Times New Roman"/>
          <w:sz w:val="24"/>
          <w:szCs w:val="24"/>
        </w:rPr>
        <w:t xml:space="preserve">of the European Union </w:t>
      </w:r>
      <w:r w:rsidR="003461DC" w:rsidRPr="00ED332D">
        <w:rPr>
          <w:rFonts w:ascii="Times New Roman" w:hAnsi="Times New Roman" w:cs="Times New Roman"/>
          <w:sz w:val="24"/>
          <w:szCs w:val="24"/>
        </w:rPr>
        <w:t>has</w:t>
      </w:r>
      <w:r w:rsidR="003461DC" w:rsidRPr="00BA4A8A">
        <w:rPr>
          <w:rFonts w:ascii="Times New Roman" w:hAnsi="Times New Roman" w:cs="Times New Roman"/>
          <w:sz w:val="24"/>
          <w:szCs w:val="24"/>
        </w:rPr>
        <w:t xml:space="preserve">, </w:t>
      </w:r>
      <w:r w:rsidR="00DE1D6B" w:rsidRPr="00BA4A8A">
        <w:rPr>
          <w:rFonts w:ascii="Times New Roman" w:hAnsi="Times New Roman" w:cs="Times New Roman"/>
          <w:sz w:val="24"/>
          <w:szCs w:val="24"/>
        </w:rPr>
        <w:t xml:space="preserve">in a line of jurisprudence </w:t>
      </w:r>
      <w:r w:rsidR="00066E04">
        <w:rPr>
          <w:rFonts w:ascii="Times New Roman" w:hAnsi="Times New Roman" w:cs="Times New Roman"/>
          <w:sz w:val="24"/>
          <w:szCs w:val="24"/>
        </w:rPr>
        <w:t xml:space="preserve">established </w:t>
      </w:r>
      <w:r w:rsidR="00D5330D" w:rsidRPr="00BA4A8A">
        <w:rPr>
          <w:rFonts w:ascii="Times New Roman" w:hAnsi="Times New Roman" w:cs="Times New Roman"/>
          <w:sz w:val="24"/>
          <w:szCs w:val="24"/>
        </w:rPr>
        <w:t xml:space="preserve">common minimum standards of judicial independence across EU Member </w:t>
      </w:r>
      <w:r w:rsidR="00D5330D" w:rsidRPr="00BA4A8A">
        <w:rPr>
          <w:rFonts w:ascii="Times New Roman" w:hAnsi="Times New Roman" w:cs="Times New Roman"/>
          <w:sz w:val="24"/>
          <w:szCs w:val="24"/>
        </w:rPr>
        <w:lastRenderedPageBreak/>
        <w:t>States, grounded in Union law. These standards derive from the foundational provisions of Article 19</w:t>
      </w:r>
      <w:r w:rsidR="009D1804" w:rsidRPr="00BA4A8A">
        <w:rPr>
          <w:rFonts w:ascii="Times New Roman" w:hAnsi="Times New Roman" w:cs="Times New Roman"/>
          <w:sz w:val="24"/>
          <w:szCs w:val="24"/>
        </w:rPr>
        <w:t>(1)</w:t>
      </w:r>
      <w:r w:rsidR="00D5330D" w:rsidRPr="00BA4A8A">
        <w:rPr>
          <w:rFonts w:ascii="Times New Roman" w:hAnsi="Times New Roman" w:cs="Times New Roman"/>
          <w:sz w:val="24"/>
          <w:szCs w:val="24"/>
        </w:rPr>
        <w:t xml:space="preserve"> TEU, which </w:t>
      </w:r>
      <w:r w:rsidR="006D7D91" w:rsidRPr="00BA4A8A">
        <w:rPr>
          <w:rFonts w:ascii="Times New Roman" w:hAnsi="Times New Roman" w:cs="Times New Roman"/>
          <w:sz w:val="24"/>
          <w:szCs w:val="24"/>
        </w:rPr>
        <w:t>requires Member States to ensure “</w:t>
      </w:r>
      <w:r w:rsidR="00D5330D" w:rsidRPr="00BA4A8A">
        <w:rPr>
          <w:rFonts w:ascii="Times New Roman" w:hAnsi="Times New Roman" w:cs="Times New Roman"/>
          <w:sz w:val="24"/>
          <w:szCs w:val="24"/>
        </w:rPr>
        <w:t xml:space="preserve">effective </w:t>
      </w:r>
      <w:r w:rsidR="0031334C" w:rsidRPr="00BA4A8A">
        <w:rPr>
          <w:rFonts w:ascii="Times New Roman" w:hAnsi="Times New Roman" w:cs="Times New Roman"/>
          <w:sz w:val="24"/>
          <w:szCs w:val="24"/>
        </w:rPr>
        <w:t xml:space="preserve">legal </w:t>
      </w:r>
      <w:r w:rsidR="00D5330D" w:rsidRPr="00BA4A8A">
        <w:rPr>
          <w:rFonts w:ascii="Times New Roman" w:hAnsi="Times New Roman" w:cs="Times New Roman"/>
          <w:sz w:val="24"/>
          <w:szCs w:val="24"/>
        </w:rPr>
        <w:t xml:space="preserve">protection in </w:t>
      </w:r>
      <w:r w:rsidR="0031334C" w:rsidRPr="00BA4A8A">
        <w:rPr>
          <w:rFonts w:ascii="Times New Roman" w:hAnsi="Times New Roman" w:cs="Times New Roman"/>
          <w:sz w:val="24"/>
          <w:szCs w:val="24"/>
        </w:rPr>
        <w:t xml:space="preserve">fields </w:t>
      </w:r>
      <w:r w:rsidR="00D5330D" w:rsidRPr="00BA4A8A">
        <w:rPr>
          <w:rFonts w:ascii="Times New Roman" w:hAnsi="Times New Roman" w:cs="Times New Roman"/>
          <w:sz w:val="24"/>
          <w:szCs w:val="24"/>
        </w:rPr>
        <w:t xml:space="preserve">covered by </w:t>
      </w:r>
      <w:r w:rsidR="0031334C" w:rsidRPr="00BA4A8A">
        <w:rPr>
          <w:rFonts w:ascii="Times New Roman" w:hAnsi="Times New Roman" w:cs="Times New Roman"/>
          <w:sz w:val="24"/>
          <w:szCs w:val="24"/>
        </w:rPr>
        <w:t>Union</w:t>
      </w:r>
      <w:r w:rsidR="00D5330D" w:rsidRPr="00BA4A8A">
        <w:rPr>
          <w:rFonts w:ascii="Times New Roman" w:hAnsi="Times New Roman" w:cs="Times New Roman"/>
          <w:sz w:val="24"/>
          <w:szCs w:val="24"/>
        </w:rPr>
        <w:t xml:space="preserve"> law</w:t>
      </w:r>
      <w:r w:rsidR="0031334C" w:rsidRPr="00BA4A8A">
        <w:rPr>
          <w:rFonts w:ascii="Times New Roman" w:hAnsi="Times New Roman" w:cs="Times New Roman"/>
          <w:sz w:val="24"/>
          <w:szCs w:val="24"/>
        </w:rPr>
        <w:t>”</w:t>
      </w:r>
      <w:r w:rsidR="00D5330D" w:rsidRPr="00BA4A8A">
        <w:rPr>
          <w:rFonts w:ascii="Times New Roman" w:hAnsi="Times New Roman" w:cs="Times New Roman"/>
          <w:sz w:val="24"/>
          <w:szCs w:val="24"/>
        </w:rPr>
        <w:t xml:space="preserve">; Article 47 of the Charter of </w:t>
      </w:r>
      <w:r w:rsidR="00D5330D" w:rsidRPr="00ED332D">
        <w:rPr>
          <w:rFonts w:ascii="Times New Roman" w:hAnsi="Times New Roman" w:cs="Times New Roman"/>
          <w:sz w:val="24"/>
          <w:szCs w:val="24"/>
        </w:rPr>
        <w:t>Fundamental Rights of the EU, which guarantees the right to a fair trial and effective judicial protection when implementing EU law; and Article 2 TEU</w:t>
      </w:r>
      <w:r w:rsidR="005E06CF" w:rsidRPr="00ED332D">
        <w:rPr>
          <w:rFonts w:ascii="Times New Roman" w:hAnsi="Times New Roman" w:cs="Times New Roman"/>
          <w:sz w:val="24"/>
          <w:szCs w:val="24"/>
        </w:rPr>
        <w:t>.</w:t>
      </w:r>
      <w:r w:rsidR="009315F6" w:rsidRPr="00ED332D">
        <w:rPr>
          <w:rFonts w:ascii="Times New Roman" w:hAnsi="Times New Roman" w:cs="Times New Roman"/>
          <w:sz w:val="24"/>
          <w:szCs w:val="24"/>
        </w:rPr>
        <w:t xml:space="preserve"> </w:t>
      </w:r>
      <w:r w:rsidR="00D5330D" w:rsidRPr="00ED332D">
        <w:rPr>
          <w:rFonts w:ascii="Times New Roman" w:hAnsi="Times New Roman" w:cs="Times New Roman"/>
          <w:sz w:val="24"/>
          <w:szCs w:val="24"/>
        </w:rPr>
        <w:t xml:space="preserve"> Transparent processes</w:t>
      </w:r>
      <w:r w:rsidR="00ED332D" w:rsidRPr="00ED332D">
        <w:rPr>
          <w:rFonts w:ascii="Times New Roman" w:hAnsi="Times New Roman" w:cs="Times New Roman"/>
          <w:sz w:val="24"/>
          <w:szCs w:val="24"/>
        </w:rPr>
        <w:t>,</w:t>
      </w:r>
      <w:r w:rsidR="009315F6" w:rsidRPr="00ED332D">
        <w:rPr>
          <w:rFonts w:ascii="Times New Roman" w:hAnsi="Times New Roman" w:cs="Times New Roman"/>
          <w:sz w:val="24"/>
          <w:szCs w:val="24"/>
        </w:rPr>
        <w:t xml:space="preserve"> </w:t>
      </w:r>
      <w:r w:rsidR="00D5330D" w:rsidRPr="00ED332D">
        <w:rPr>
          <w:rFonts w:ascii="Times New Roman" w:hAnsi="Times New Roman" w:cs="Times New Roman"/>
          <w:sz w:val="24"/>
          <w:szCs w:val="24"/>
        </w:rPr>
        <w:t>particularly in judicial appointments, disciplinary actions, and case handling</w:t>
      </w:r>
      <w:r w:rsidR="00ED332D" w:rsidRPr="00ED332D">
        <w:rPr>
          <w:rFonts w:ascii="Times New Roman" w:hAnsi="Times New Roman" w:cs="Times New Roman"/>
          <w:sz w:val="24"/>
          <w:szCs w:val="24"/>
        </w:rPr>
        <w:t xml:space="preserve">, </w:t>
      </w:r>
      <w:r w:rsidR="00D5330D" w:rsidRPr="00ED332D">
        <w:rPr>
          <w:rFonts w:ascii="Times New Roman" w:hAnsi="Times New Roman" w:cs="Times New Roman"/>
          <w:sz w:val="24"/>
          <w:szCs w:val="24"/>
        </w:rPr>
        <w:t>reinforce</w:t>
      </w:r>
      <w:r w:rsidR="00D5330D" w:rsidRPr="00BA4A8A">
        <w:rPr>
          <w:rFonts w:ascii="Times New Roman" w:hAnsi="Times New Roman" w:cs="Times New Roman"/>
          <w:sz w:val="24"/>
          <w:szCs w:val="24"/>
        </w:rPr>
        <w:t xml:space="preserve"> public confidence in the impartiality and integrity of the judiciary</w:t>
      </w:r>
      <w:r w:rsidR="009315F6">
        <w:rPr>
          <w:rFonts w:ascii="Times New Roman" w:hAnsi="Times New Roman" w:cs="Times New Roman"/>
          <w:sz w:val="24"/>
          <w:szCs w:val="24"/>
        </w:rPr>
        <w:t>.</w:t>
      </w:r>
    </w:p>
    <w:p w14:paraId="16E12BAB" w14:textId="77777777" w:rsidR="009315F6" w:rsidRPr="009315F6" w:rsidRDefault="009315F6" w:rsidP="009315F6">
      <w:pPr>
        <w:pStyle w:val="ListParagraph"/>
        <w:rPr>
          <w:rFonts w:ascii="Times New Roman" w:hAnsi="Times New Roman" w:cs="Times New Roman"/>
          <w:sz w:val="24"/>
          <w:szCs w:val="24"/>
        </w:rPr>
      </w:pPr>
    </w:p>
    <w:p w14:paraId="4F1A4988" w14:textId="6AAD8E76" w:rsidR="009E4D5E" w:rsidRPr="009E4D5E" w:rsidRDefault="006B524A" w:rsidP="009E4D5E">
      <w:pPr>
        <w:pStyle w:val="ListParagraph"/>
        <w:numPr>
          <w:ilvl w:val="0"/>
          <w:numId w:val="4"/>
        </w:numPr>
        <w:spacing w:line="240" w:lineRule="auto"/>
        <w:jc w:val="both"/>
      </w:pPr>
      <w:r w:rsidRPr="00670F3F">
        <w:rPr>
          <w:rFonts w:ascii="Times New Roman" w:hAnsi="Times New Roman" w:cs="Times New Roman"/>
          <w:sz w:val="24"/>
          <w:szCs w:val="24"/>
        </w:rPr>
        <w:t xml:space="preserve">Traditionally, </w:t>
      </w:r>
      <w:r w:rsidRPr="00670F3F">
        <w:rPr>
          <w:rFonts w:ascii="Times New Roman" w:eastAsia="SourceSansPro-Regular" w:hAnsi="Times New Roman" w:cs="Times New Roman"/>
          <w:kern w:val="0"/>
          <w:sz w:val="24"/>
          <w:szCs w:val="24"/>
        </w:rPr>
        <w:t>n</w:t>
      </w:r>
      <w:r w:rsidR="001F3015" w:rsidRPr="00670F3F">
        <w:rPr>
          <w:rFonts w:ascii="Times New Roman" w:eastAsia="SourceSansPro-Regular" w:hAnsi="Times New Roman" w:cs="Times New Roman"/>
          <w:kern w:val="0"/>
          <w:sz w:val="24"/>
          <w:szCs w:val="24"/>
        </w:rPr>
        <w:t>ational measures</w:t>
      </w:r>
      <w:r w:rsidR="009315F6" w:rsidRPr="00670F3F">
        <w:rPr>
          <w:rFonts w:ascii="Times New Roman" w:eastAsia="SourceSansPro-Regular" w:hAnsi="Times New Roman" w:cs="Times New Roman"/>
          <w:kern w:val="0"/>
          <w:sz w:val="24"/>
          <w:szCs w:val="24"/>
        </w:rPr>
        <w:t xml:space="preserve"> </w:t>
      </w:r>
      <w:r w:rsidR="00BE5B05">
        <w:rPr>
          <w:rFonts w:ascii="Times New Roman" w:eastAsia="SourceSansPro-Regular" w:hAnsi="Times New Roman" w:cs="Times New Roman"/>
          <w:kern w:val="0"/>
          <w:sz w:val="24"/>
          <w:szCs w:val="24"/>
        </w:rPr>
        <w:t xml:space="preserve">affecting </w:t>
      </w:r>
      <w:r w:rsidR="00876FA5" w:rsidRPr="00670F3F">
        <w:rPr>
          <w:rFonts w:ascii="Times New Roman" w:eastAsia="SourceSansPro-Regular" w:hAnsi="Times New Roman" w:cs="Times New Roman"/>
          <w:kern w:val="0"/>
          <w:sz w:val="24"/>
          <w:szCs w:val="24"/>
        </w:rPr>
        <w:t xml:space="preserve">key </w:t>
      </w:r>
      <w:r w:rsidR="001F3015" w:rsidRPr="00670F3F">
        <w:rPr>
          <w:rFonts w:ascii="Times New Roman" w:eastAsia="SourceSansPro-Regular" w:hAnsi="Times New Roman" w:cs="Times New Roman"/>
          <w:kern w:val="0"/>
          <w:sz w:val="24"/>
          <w:szCs w:val="24"/>
        </w:rPr>
        <w:t>components of the rule of law, such as judicial independence, were</w:t>
      </w:r>
      <w:r w:rsidR="00413395" w:rsidRPr="00670F3F">
        <w:rPr>
          <w:rFonts w:ascii="Times New Roman" w:eastAsia="SourceSansPro-Regular" w:hAnsi="Times New Roman" w:cs="Times New Roman"/>
          <w:kern w:val="0"/>
          <w:sz w:val="24"/>
          <w:szCs w:val="24"/>
        </w:rPr>
        <w:t xml:space="preserve"> </w:t>
      </w:r>
      <w:r w:rsidR="001F3015" w:rsidRPr="00670F3F">
        <w:rPr>
          <w:rFonts w:ascii="Times New Roman" w:eastAsia="SourceSansPro-Regular" w:hAnsi="Times New Roman" w:cs="Times New Roman"/>
          <w:kern w:val="0"/>
          <w:sz w:val="24"/>
          <w:szCs w:val="24"/>
        </w:rPr>
        <w:t xml:space="preserve">understood as </w:t>
      </w:r>
      <w:r w:rsidR="00413395" w:rsidRPr="00670F3F">
        <w:rPr>
          <w:rFonts w:ascii="Times New Roman" w:eastAsia="SourceSansPro-Regular" w:hAnsi="Times New Roman" w:cs="Times New Roman"/>
          <w:kern w:val="0"/>
          <w:sz w:val="24"/>
          <w:szCs w:val="24"/>
        </w:rPr>
        <w:t xml:space="preserve">generally </w:t>
      </w:r>
      <w:r w:rsidR="001F3015" w:rsidRPr="00670F3F">
        <w:rPr>
          <w:rFonts w:ascii="Times New Roman" w:eastAsia="SourceSansPro-Regular" w:hAnsi="Times New Roman" w:cs="Times New Roman"/>
          <w:kern w:val="0"/>
          <w:sz w:val="24"/>
          <w:szCs w:val="24"/>
        </w:rPr>
        <w:t xml:space="preserve">falling </w:t>
      </w:r>
      <w:r w:rsidR="001F3015" w:rsidRPr="00670F3F">
        <w:rPr>
          <w:rFonts w:ascii="Times New Roman" w:eastAsia="SourceSansPro-It" w:hAnsi="Times New Roman" w:cs="Times New Roman"/>
          <w:kern w:val="0"/>
          <w:sz w:val="24"/>
          <w:szCs w:val="24"/>
        </w:rPr>
        <w:t>outside</w:t>
      </w:r>
      <w:r w:rsidR="001F3015" w:rsidRPr="00670F3F">
        <w:rPr>
          <w:rFonts w:ascii="Times New Roman" w:eastAsia="SourceSansPro-It" w:hAnsi="Times New Roman" w:cs="Times New Roman"/>
          <w:i/>
          <w:iCs/>
          <w:kern w:val="0"/>
          <w:sz w:val="24"/>
          <w:szCs w:val="24"/>
        </w:rPr>
        <w:t xml:space="preserve"> </w:t>
      </w:r>
      <w:r w:rsidR="001F3015" w:rsidRPr="00670F3F">
        <w:rPr>
          <w:rFonts w:ascii="Times New Roman" w:eastAsia="SourceSansPro-Regular" w:hAnsi="Times New Roman" w:cs="Times New Roman"/>
          <w:kern w:val="0"/>
          <w:sz w:val="24"/>
          <w:szCs w:val="24"/>
        </w:rPr>
        <w:t>the scope of EU law</w:t>
      </w:r>
      <w:r w:rsidR="00456CD7" w:rsidRPr="00670F3F">
        <w:rPr>
          <w:rFonts w:ascii="Times New Roman" w:eastAsia="SourceSansPro-Regular" w:hAnsi="Times New Roman" w:cs="Times New Roman"/>
          <w:kern w:val="0"/>
          <w:sz w:val="24"/>
          <w:szCs w:val="24"/>
        </w:rPr>
        <w:t xml:space="preserve">.  However </w:t>
      </w:r>
      <w:r w:rsidR="00DE7953" w:rsidRPr="00670F3F">
        <w:rPr>
          <w:rFonts w:ascii="Times New Roman" w:eastAsia="SourceSansPro-Regular" w:hAnsi="Times New Roman" w:cs="Times New Roman"/>
          <w:kern w:val="0"/>
          <w:sz w:val="24"/>
          <w:szCs w:val="24"/>
        </w:rPr>
        <w:t xml:space="preserve">in </w:t>
      </w:r>
      <w:r w:rsidR="00DE7953" w:rsidRPr="00670F3F">
        <w:rPr>
          <w:rStyle w:val="cf01"/>
          <w:rFonts w:ascii="Times New Roman" w:hAnsi="Times New Roman" w:cs="Times New Roman"/>
          <w:i/>
          <w:iCs/>
          <w:sz w:val="24"/>
          <w:szCs w:val="24"/>
        </w:rPr>
        <w:t xml:space="preserve">C-64/16, </w:t>
      </w:r>
      <w:proofErr w:type="spellStart"/>
      <w:r w:rsidR="00DE7953" w:rsidRPr="00670F3F">
        <w:rPr>
          <w:rStyle w:val="cf01"/>
          <w:rFonts w:ascii="Times New Roman" w:hAnsi="Times New Roman" w:cs="Times New Roman"/>
          <w:i/>
          <w:iCs/>
          <w:sz w:val="24"/>
          <w:szCs w:val="24"/>
        </w:rPr>
        <w:t>Associação</w:t>
      </w:r>
      <w:proofErr w:type="spellEnd"/>
      <w:r w:rsidR="00DE7953" w:rsidRPr="00670F3F">
        <w:rPr>
          <w:rStyle w:val="cf01"/>
          <w:rFonts w:ascii="Times New Roman" w:hAnsi="Times New Roman" w:cs="Times New Roman"/>
          <w:i/>
          <w:iCs/>
          <w:sz w:val="24"/>
          <w:szCs w:val="24"/>
        </w:rPr>
        <w:t xml:space="preserve"> </w:t>
      </w:r>
      <w:proofErr w:type="spellStart"/>
      <w:r w:rsidR="00DE7953" w:rsidRPr="00670F3F">
        <w:rPr>
          <w:rStyle w:val="cf01"/>
          <w:rFonts w:ascii="Times New Roman" w:hAnsi="Times New Roman" w:cs="Times New Roman"/>
          <w:i/>
          <w:iCs/>
          <w:sz w:val="24"/>
          <w:szCs w:val="24"/>
        </w:rPr>
        <w:t>Sindical</w:t>
      </w:r>
      <w:proofErr w:type="spellEnd"/>
      <w:r w:rsidR="00DE7953" w:rsidRPr="00670F3F">
        <w:rPr>
          <w:rStyle w:val="cf01"/>
          <w:rFonts w:ascii="Times New Roman" w:hAnsi="Times New Roman" w:cs="Times New Roman"/>
          <w:i/>
          <w:iCs/>
          <w:sz w:val="24"/>
          <w:szCs w:val="24"/>
        </w:rPr>
        <w:t xml:space="preserve"> dos </w:t>
      </w:r>
      <w:proofErr w:type="spellStart"/>
      <w:r w:rsidR="00DE7953" w:rsidRPr="00670F3F">
        <w:rPr>
          <w:rStyle w:val="cf01"/>
          <w:rFonts w:ascii="Times New Roman" w:hAnsi="Times New Roman" w:cs="Times New Roman"/>
          <w:i/>
          <w:iCs/>
          <w:sz w:val="24"/>
          <w:szCs w:val="24"/>
        </w:rPr>
        <w:t>Juízes</w:t>
      </w:r>
      <w:proofErr w:type="spellEnd"/>
      <w:r w:rsidR="00DE7953" w:rsidRPr="00670F3F">
        <w:rPr>
          <w:rStyle w:val="cf01"/>
          <w:rFonts w:ascii="Times New Roman" w:hAnsi="Times New Roman" w:cs="Times New Roman"/>
          <w:i/>
          <w:iCs/>
          <w:sz w:val="24"/>
          <w:szCs w:val="24"/>
        </w:rPr>
        <w:t xml:space="preserve"> </w:t>
      </w:r>
      <w:proofErr w:type="spellStart"/>
      <w:r w:rsidR="00DE7953" w:rsidRPr="00670F3F">
        <w:rPr>
          <w:rStyle w:val="cf01"/>
          <w:rFonts w:ascii="Times New Roman" w:hAnsi="Times New Roman" w:cs="Times New Roman"/>
          <w:i/>
          <w:iCs/>
          <w:sz w:val="24"/>
          <w:szCs w:val="24"/>
        </w:rPr>
        <w:t>Portugueses</w:t>
      </w:r>
      <w:proofErr w:type="spellEnd"/>
      <w:r w:rsidR="00DE7953" w:rsidRPr="00670F3F">
        <w:rPr>
          <w:rStyle w:val="cf01"/>
          <w:rFonts w:ascii="Times New Roman" w:hAnsi="Times New Roman" w:cs="Times New Roman"/>
          <w:i/>
          <w:iCs/>
          <w:sz w:val="24"/>
          <w:szCs w:val="24"/>
        </w:rPr>
        <w:t xml:space="preserve"> v. Tribunal de Contas</w:t>
      </w:r>
      <w:r w:rsidR="00DE7953" w:rsidRPr="00670F3F">
        <w:rPr>
          <w:rStyle w:val="cf01"/>
          <w:rFonts w:ascii="Times New Roman" w:hAnsi="Times New Roman" w:cs="Times New Roman"/>
          <w:sz w:val="24"/>
          <w:szCs w:val="24"/>
        </w:rPr>
        <w:t>, ECLI:EU:C:2018:11, commonly referred to as</w:t>
      </w:r>
      <w:r w:rsidR="00DE7953" w:rsidRPr="00670F3F">
        <w:rPr>
          <w:rFonts w:ascii="Times New Roman" w:hAnsi="Times New Roman" w:cs="Times New Roman"/>
          <w:sz w:val="24"/>
          <w:szCs w:val="24"/>
        </w:rPr>
        <w:t xml:space="preserve"> the </w:t>
      </w:r>
      <w:r w:rsidR="00DE7953" w:rsidRPr="00670F3F">
        <w:rPr>
          <w:rFonts w:ascii="Times New Roman" w:hAnsi="Times New Roman" w:cs="Times New Roman"/>
          <w:i/>
          <w:iCs/>
          <w:sz w:val="24"/>
          <w:szCs w:val="24"/>
        </w:rPr>
        <w:t>Portuguese Judges</w:t>
      </w:r>
      <w:r w:rsidR="00DE7953" w:rsidRPr="00670F3F">
        <w:rPr>
          <w:rFonts w:ascii="Times New Roman" w:hAnsi="Times New Roman" w:cs="Times New Roman"/>
          <w:sz w:val="24"/>
          <w:szCs w:val="24"/>
        </w:rPr>
        <w:t xml:space="preserve"> case</w:t>
      </w:r>
      <w:r w:rsidR="001F3015" w:rsidRPr="00670F3F">
        <w:rPr>
          <w:rFonts w:ascii="Times New Roman" w:eastAsia="SourceSansPro-Regular" w:hAnsi="Times New Roman" w:cs="Times New Roman"/>
          <w:kern w:val="0"/>
          <w:sz w:val="24"/>
          <w:szCs w:val="24"/>
        </w:rPr>
        <w:t xml:space="preserve">, </w:t>
      </w:r>
      <w:r w:rsidR="00C1324F" w:rsidRPr="00670F3F">
        <w:rPr>
          <w:rFonts w:ascii="Times New Roman" w:eastAsia="SourceSansPro-Regular" w:hAnsi="Times New Roman" w:cs="Times New Roman"/>
          <w:kern w:val="0"/>
          <w:sz w:val="24"/>
          <w:szCs w:val="24"/>
        </w:rPr>
        <w:t xml:space="preserve">the Court of Justice held </w:t>
      </w:r>
      <w:r w:rsidR="001F3015" w:rsidRPr="00670F3F">
        <w:rPr>
          <w:rFonts w:ascii="Times New Roman" w:eastAsia="SourceSansPro-Regular" w:hAnsi="Times New Roman" w:cs="Times New Roman"/>
          <w:kern w:val="0"/>
          <w:sz w:val="24"/>
          <w:szCs w:val="24"/>
        </w:rPr>
        <w:t>that the second</w:t>
      </w:r>
      <w:r w:rsidR="00C03170" w:rsidRPr="00670F3F">
        <w:rPr>
          <w:rFonts w:ascii="Times New Roman" w:eastAsia="SourceSansPro-Regular" w:hAnsi="Times New Roman" w:cs="Times New Roman"/>
          <w:kern w:val="0"/>
          <w:sz w:val="24"/>
          <w:szCs w:val="24"/>
        </w:rPr>
        <w:t xml:space="preserve"> </w:t>
      </w:r>
      <w:r w:rsidR="001F3015" w:rsidRPr="00670F3F">
        <w:rPr>
          <w:rFonts w:ascii="Times New Roman" w:eastAsia="SourceSansPro-Regular" w:hAnsi="Times New Roman" w:cs="Times New Roman"/>
          <w:kern w:val="0"/>
          <w:sz w:val="24"/>
          <w:szCs w:val="24"/>
        </w:rPr>
        <w:t>subparagraph of Article 19(1) TEU may be used as a self-standing ground for the review of</w:t>
      </w:r>
      <w:r w:rsidR="00C03170" w:rsidRPr="00670F3F">
        <w:rPr>
          <w:rFonts w:ascii="Times New Roman" w:eastAsia="SourceSansPro-Regular" w:hAnsi="Times New Roman" w:cs="Times New Roman"/>
          <w:kern w:val="0"/>
          <w:sz w:val="24"/>
          <w:szCs w:val="24"/>
        </w:rPr>
        <w:t xml:space="preserve"> </w:t>
      </w:r>
      <w:r w:rsidR="001F3015" w:rsidRPr="00670F3F">
        <w:rPr>
          <w:rFonts w:ascii="Times New Roman" w:eastAsia="SourceSansPro-Regular" w:hAnsi="Times New Roman" w:cs="Times New Roman"/>
          <w:kern w:val="0"/>
          <w:sz w:val="24"/>
          <w:szCs w:val="24"/>
        </w:rPr>
        <w:t>the compatibility of national measures with the EU principle of effective judicial protection</w:t>
      </w:r>
      <w:r w:rsidR="00C03170" w:rsidRPr="00670F3F">
        <w:rPr>
          <w:rFonts w:ascii="Times New Roman" w:eastAsia="SourceSansPro-Regular" w:hAnsi="Times New Roman" w:cs="Times New Roman"/>
          <w:kern w:val="0"/>
          <w:sz w:val="24"/>
          <w:szCs w:val="24"/>
        </w:rPr>
        <w:t xml:space="preserve"> </w:t>
      </w:r>
      <w:r w:rsidR="001F3015" w:rsidRPr="00670F3F">
        <w:rPr>
          <w:rFonts w:ascii="Times New Roman" w:eastAsia="SourceSansPro-Regular" w:hAnsi="Times New Roman" w:cs="Times New Roman"/>
          <w:kern w:val="0"/>
          <w:sz w:val="24"/>
          <w:szCs w:val="24"/>
        </w:rPr>
        <w:t>“whenever a [national] jurisdiction may be required to rule upon cases ‘in fields covered by</w:t>
      </w:r>
      <w:r w:rsidR="004D5742" w:rsidRPr="00670F3F">
        <w:rPr>
          <w:rFonts w:ascii="Times New Roman" w:eastAsia="SourceSansPro-Regular" w:hAnsi="Times New Roman" w:cs="Times New Roman"/>
          <w:kern w:val="0"/>
          <w:sz w:val="24"/>
          <w:szCs w:val="24"/>
        </w:rPr>
        <w:t xml:space="preserve"> </w:t>
      </w:r>
      <w:r w:rsidR="001F3015" w:rsidRPr="00670F3F">
        <w:rPr>
          <w:rFonts w:ascii="Times New Roman" w:eastAsia="SourceSansPro-Regular" w:hAnsi="Times New Roman" w:cs="Times New Roman"/>
          <w:kern w:val="0"/>
          <w:sz w:val="24"/>
          <w:szCs w:val="24"/>
        </w:rPr>
        <w:t>Union law.’</w:t>
      </w:r>
      <w:r w:rsidR="005636DC">
        <w:rPr>
          <w:rFonts w:ascii="Times New Roman" w:eastAsia="SourceSansPro-Regular" w:hAnsi="Times New Roman" w:cs="Times New Roman"/>
          <w:kern w:val="0"/>
          <w:sz w:val="24"/>
          <w:szCs w:val="24"/>
        </w:rPr>
        <w:t xml:space="preserve"> </w:t>
      </w:r>
      <w:r w:rsidR="006A781C" w:rsidRPr="00670F3F">
        <w:rPr>
          <w:rFonts w:ascii="Times New Roman" w:hAnsi="Times New Roman" w:cs="Times New Roman"/>
          <w:sz w:val="24"/>
          <w:szCs w:val="24"/>
        </w:rPr>
        <w:t xml:space="preserve">Thus, </w:t>
      </w:r>
      <w:r w:rsidR="006C5167" w:rsidRPr="00670F3F">
        <w:rPr>
          <w:rFonts w:ascii="Times New Roman" w:hAnsi="Times New Roman" w:cs="Times New Roman"/>
          <w:sz w:val="24"/>
          <w:szCs w:val="24"/>
        </w:rPr>
        <w:t xml:space="preserve">Article 19(1) TEU may be invoked to challenge national measures or practices that potentially violated EU requirements for effective judicial protection, even in cases where Article 47 of the Charter could not be applied. </w:t>
      </w:r>
      <w:r w:rsidR="009E4D5E" w:rsidRPr="004D5742">
        <w:rPr>
          <w:rFonts w:ascii="Times New Roman" w:hAnsi="Times New Roman" w:cs="Times New Roman"/>
          <w:sz w:val="24"/>
          <w:szCs w:val="24"/>
        </w:rPr>
        <w:t xml:space="preserve">Article 19(1) TEU has formed the basis of </w:t>
      </w:r>
      <w:proofErr w:type="gramStart"/>
      <w:r w:rsidR="009E4D5E" w:rsidRPr="004D5742">
        <w:rPr>
          <w:rFonts w:ascii="Times New Roman" w:hAnsi="Times New Roman" w:cs="Times New Roman"/>
          <w:sz w:val="24"/>
          <w:szCs w:val="24"/>
        </w:rPr>
        <w:t>a number of</w:t>
      </w:r>
      <w:proofErr w:type="gramEnd"/>
      <w:r w:rsidR="009E4D5E" w:rsidRPr="004D5742">
        <w:rPr>
          <w:rFonts w:ascii="Times New Roman" w:hAnsi="Times New Roman" w:cs="Times New Roman"/>
          <w:sz w:val="24"/>
          <w:szCs w:val="24"/>
        </w:rPr>
        <w:t xml:space="preserve"> preliminary references from national courts to the CJEU</w:t>
      </w:r>
      <w:r w:rsidR="00BE5B05">
        <w:rPr>
          <w:rFonts w:ascii="Times New Roman" w:hAnsi="Times New Roman" w:cs="Times New Roman"/>
          <w:sz w:val="24"/>
          <w:szCs w:val="24"/>
        </w:rPr>
        <w:t xml:space="preserve">, by national courts before whom issues relating to the Rule of Law in other member states have been raised, and by national courts in </w:t>
      </w:r>
      <w:r w:rsidR="000F49BC">
        <w:rPr>
          <w:rFonts w:ascii="Times New Roman" w:hAnsi="Times New Roman" w:cs="Times New Roman"/>
          <w:sz w:val="24"/>
          <w:szCs w:val="24"/>
        </w:rPr>
        <w:t>respect</w:t>
      </w:r>
      <w:r w:rsidR="00BE5B05">
        <w:rPr>
          <w:rFonts w:ascii="Times New Roman" w:hAnsi="Times New Roman" w:cs="Times New Roman"/>
          <w:sz w:val="24"/>
          <w:szCs w:val="24"/>
        </w:rPr>
        <w:t xml:space="preserve"> of issues arising in their own jurisdiction</w:t>
      </w:r>
      <w:r w:rsidR="000F49BC">
        <w:rPr>
          <w:rFonts w:ascii="Times New Roman" w:hAnsi="Times New Roman" w:cs="Times New Roman"/>
          <w:sz w:val="24"/>
          <w:szCs w:val="24"/>
        </w:rPr>
        <w:t xml:space="preserve">.  The European Commission has also </w:t>
      </w:r>
      <w:r w:rsidR="000F49BC" w:rsidRPr="00ED332D">
        <w:rPr>
          <w:rFonts w:ascii="Times New Roman" w:hAnsi="Times New Roman" w:cs="Times New Roman"/>
          <w:sz w:val="24"/>
          <w:szCs w:val="24"/>
        </w:rPr>
        <w:t xml:space="preserve">instituted </w:t>
      </w:r>
      <w:r w:rsidR="00ED332D" w:rsidRPr="00ED332D">
        <w:rPr>
          <w:rFonts w:ascii="Times New Roman" w:hAnsi="Times New Roman" w:cs="Times New Roman"/>
          <w:sz w:val="24"/>
          <w:szCs w:val="24"/>
        </w:rPr>
        <w:t>a</w:t>
      </w:r>
      <w:r w:rsidR="005B363A" w:rsidRPr="00ED332D">
        <w:rPr>
          <w:rFonts w:ascii="Times New Roman" w:hAnsi="Times New Roman" w:cs="Times New Roman"/>
          <w:sz w:val="24"/>
          <w:szCs w:val="24"/>
        </w:rPr>
        <w:t xml:space="preserve"> </w:t>
      </w:r>
      <w:r w:rsidR="009E4D5E" w:rsidRPr="00ED332D">
        <w:rPr>
          <w:rFonts w:ascii="Times New Roman" w:hAnsi="Times New Roman" w:cs="Times New Roman"/>
          <w:sz w:val="24"/>
          <w:szCs w:val="24"/>
        </w:rPr>
        <w:t>small</w:t>
      </w:r>
      <w:r w:rsidR="009E4D5E" w:rsidRPr="004D5742">
        <w:rPr>
          <w:rFonts w:ascii="Times New Roman" w:hAnsi="Times New Roman" w:cs="Times New Roman"/>
          <w:sz w:val="24"/>
          <w:szCs w:val="24"/>
        </w:rPr>
        <w:t xml:space="preserve"> number of infringement procedures before the CJEU.</w:t>
      </w:r>
      <w:r w:rsidR="00BE5B05">
        <w:rPr>
          <w:rFonts w:ascii="Times New Roman" w:hAnsi="Times New Roman" w:cs="Times New Roman"/>
          <w:sz w:val="24"/>
          <w:szCs w:val="24"/>
        </w:rPr>
        <w:t xml:space="preserve"> </w:t>
      </w:r>
    </w:p>
    <w:p w14:paraId="385D9E8D" w14:textId="77777777" w:rsidR="009E4D5E" w:rsidRDefault="009E4D5E" w:rsidP="009E4D5E">
      <w:pPr>
        <w:pStyle w:val="ListParagraph"/>
      </w:pPr>
    </w:p>
    <w:p w14:paraId="6FF8D704" w14:textId="77777777" w:rsidR="009E4D5E" w:rsidRDefault="009E4D5E" w:rsidP="009E4D5E">
      <w:pPr>
        <w:pStyle w:val="ListParagraph"/>
        <w:spacing w:line="240" w:lineRule="auto"/>
        <w:jc w:val="both"/>
      </w:pPr>
    </w:p>
    <w:p w14:paraId="08A989D6" w14:textId="77777777" w:rsidR="009E4D5E" w:rsidRDefault="006C5167" w:rsidP="009E4D5E">
      <w:pPr>
        <w:pStyle w:val="ListParagraph"/>
        <w:numPr>
          <w:ilvl w:val="0"/>
          <w:numId w:val="4"/>
        </w:numPr>
        <w:spacing w:line="240" w:lineRule="auto"/>
        <w:jc w:val="both"/>
        <w:rPr>
          <w:rFonts w:ascii="Times New Roman" w:hAnsi="Times New Roman" w:cs="Times New Roman"/>
          <w:sz w:val="24"/>
          <w:szCs w:val="24"/>
        </w:rPr>
      </w:pPr>
      <w:r w:rsidRPr="00691D72">
        <w:rPr>
          <w:rFonts w:ascii="Times New Roman" w:hAnsi="Times New Roman" w:cs="Times New Roman"/>
          <w:sz w:val="24"/>
          <w:szCs w:val="24"/>
        </w:rPr>
        <w:t xml:space="preserve">In </w:t>
      </w:r>
      <w:r w:rsidR="006A7555" w:rsidRPr="00691D72">
        <w:rPr>
          <w:rFonts w:ascii="Times New Roman" w:hAnsi="Times New Roman" w:cs="Times New Roman"/>
          <w:color w:val="222222"/>
          <w:sz w:val="24"/>
          <w:szCs w:val="24"/>
          <w:shd w:val="clear" w:color="auto" w:fill="FFFFFF"/>
        </w:rPr>
        <w:t>Case C-</w:t>
      </w:r>
      <w:r w:rsidR="006A7555" w:rsidRPr="00AD2975">
        <w:rPr>
          <w:rFonts w:ascii="Times New Roman" w:hAnsi="Times New Roman" w:cs="Times New Roman"/>
          <w:color w:val="222222"/>
          <w:sz w:val="24"/>
          <w:szCs w:val="24"/>
          <w:shd w:val="clear" w:color="auto" w:fill="FFFFFF"/>
        </w:rPr>
        <w:t>585/18, C-624/18 and C-625/18 </w:t>
      </w:r>
      <w:r w:rsidR="006A7555" w:rsidRPr="00AD2975">
        <w:rPr>
          <w:rFonts w:ascii="Times New Roman" w:hAnsi="Times New Roman" w:cs="Times New Roman"/>
          <w:i/>
          <w:iCs/>
          <w:color w:val="222222"/>
          <w:sz w:val="24"/>
          <w:szCs w:val="24"/>
          <w:shd w:val="clear" w:color="auto" w:fill="FFFFFF"/>
        </w:rPr>
        <w:t>A.K. and Others v. National Council of Judiciary and Supreme Court (Independence of the Disciplinary Chamber of the Supreme Court)</w:t>
      </w:r>
      <w:r w:rsidR="00AD2975" w:rsidRPr="00AD2975">
        <w:rPr>
          <w:rFonts w:ascii="Times New Roman" w:hAnsi="Times New Roman" w:cs="Times New Roman"/>
          <w:sz w:val="24"/>
          <w:szCs w:val="24"/>
        </w:rPr>
        <w:t xml:space="preserve">, </w:t>
      </w:r>
      <w:r w:rsidRPr="00AD2975">
        <w:rPr>
          <w:rFonts w:ascii="Times New Roman" w:hAnsi="Times New Roman" w:cs="Times New Roman"/>
          <w:sz w:val="24"/>
          <w:szCs w:val="24"/>
        </w:rPr>
        <w:t xml:space="preserve">the Court </w:t>
      </w:r>
      <w:r w:rsidR="00AD2975" w:rsidRPr="00AD2975">
        <w:rPr>
          <w:rFonts w:ascii="Times New Roman" w:hAnsi="Times New Roman" w:cs="Times New Roman"/>
          <w:sz w:val="24"/>
          <w:szCs w:val="24"/>
        </w:rPr>
        <w:t xml:space="preserve">of Justice found </w:t>
      </w:r>
      <w:r w:rsidRPr="00AD2975">
        <w:rPr>
          <w:rFonts w:ascii="Times New Roman" w:hAnsi="Times New Roman" w:cs="Times New Roman"/>
          <w:sz w:val="24"/>
          <w:szCs w:val="24"/>
        </w:rPr>
        <w:t>that while the organi</w:t>
      </w:r>
      <w:r w:rsidR="00A32E92" w:rsidRPr="00AD2975">
        <w:rPr>
          <w:rFonts w:ascii="Times New Roman" w:hAnsi="Times New Roman" w:cs="Times New Roman"/>
          <w:sz w:val="24"/>
          <w:szCs w:val="24"/>
        </w:rPr>
        <w:t>s</w:t>
      </w:r>
      <w:r w:rsidRPr="00AD2975">
        <w:rPr>
          <w:rFonts w:ascii="Times New Roman" w:hAnsi="Times New Roman" w:cs="Times New Roman"/>
          <w:sz w:val="24"/>
          <w:szCs w:val="24"/>
        </w:rPr>
        <w:t>ation of justice remains within the competence of Member States, they must still adhere to EU law obligations, particularly when national courts are tasked with issues related to the application or interpretation of EU law.</w:t>
      </w:r>
      <w:r w:rsidR="00670F3F">
        <w:rPr>
          <w:rFonts w:ascii="Times New Roman" w:hAnsi="Times New Roman" w:cs="Times New Roman"/>
          <w:sz w:val="24"/>
          <w:szCs w:val="24"/>
        </w:rPr>
        <w:t xml:space="preserve"> </w:t>
      </w:r>
    </w:p>
    <w:p w14:paraId="2E91419C" w14:textId="77777777" w:rsidR="009E4D5E" w:rsidRDefault="009E4D5E" w:rsidP="009E4D5E">
      <w:pPr>
        <w:pStyle w:val="ListParagraph"/>
        <w:spacing w:line="240" w:lineRule="auto"/>
        <w:jc w:val="both"/>
        <w:rPr>
          <w:rFonts w:ascii="Times New Roman" w:hAnsi="Times New Roman" w:cs="Times New Roman"/>
          <w:sz w:val="24"/>
          <w:szCs w:val="24"/>
        </w:rPr>
      </w:pPr>
    </w:p>
    <w:p w14:paraId="4794BD9E" w14:textId="0D1390D5" w:rsidR="00DD5F6E" w:rsidRPr="009E4D5E" w:rsidRDefault="00BF4D62" w:rsidP="009E4D5E">
      <w:pPr>
        <w:pStyle w:val="ListParagraph"/>
        <w:numPr>
          <w:ilvl w:val="0"/>
          <w:numId w:val="4"/>
        </w:numPr>
        <w:spacing w:line="240" w:lineRule="auto"/>
        <w:jc w:val="both"/>
        <w:rPr>
          <w:rFonts w:ascii="Times New Roman" w:hAnsi="Times New Roman" w:cs="Times New Roman"/>
          <w:sz w:val="24"/>
          <w:szCs w:val="24"/>
        </w:rPr>
      </w:pPr>
      <w:r w:rsidRPr="009E4D5E">
        <w:rPr>
          <w:rFonts w:ascii="Times New Roman" w:hAnsi="Times New Roman" w:cs="Times New Roman"/>
          <w:sz w:val="24"/>
          <w:szCs w:val="24"/>
        </w:rPr>
        <w:t xml:space="preserve">This topic </w:t>
      </w:r>
      <w:r w:rsidR="009F2CDA" w:rsidRPr="009E4D5E">
        <w:rPr>
          <w:rFonts w:ascii="Times New Roman" w:hAnsi="Times New Roman" w:cs="Times New Roman"/>
          <w:sz w:val="24"/>
          <w:szCs w:val="24"/>
        </w:rPr>
        <w:t>aims to contribute to a</w:t>
      </w:r>
      <w:r w:rsidR="003349EB">
        <w:rPr>
          <w:rFonts w:ascii="Times New Roman" w:hAnsi="Times New Roman" w:cs="Times New Roman"/>
          <w:sz w:val="24"/>
          <w:szCs w:val="24"/>
        </w:rPr>
        <w:t>n</w:t>
      </w:r>
      <w:r w:rsidR="009F2CDA" w:rsidRPr="009E4D5E">
        <w:rPr>
          <w:rFonts w:ascii="Times New Roman" w:hAnsi="Times New Roman" w:cs="Times New Roman"/>
          <w:sz w:val="24"/>
          <w:szCs w:val="24"/>
        </w:rPr>
        <w:t xml:space="preserve"> understanding of how judicial independence is safeguarded in practice, </w:t>
      </w:r>
      <w:r w:rsidR="009E4D5E">
        <w:rPr>
          <w:rFonts w:ascii="Times New Roman" w:hAnsi="Times New Roman" w:cs="Times New Roman"/>
          <w:sz w:val="24"/>
          <w:szCs w:val="24"/>
        </w:rPr>
        <w:t xml:space="preserve">whether and </w:t>
      </w:r>
      <w:r w:rsidR="009F2CDA" w:rsidRPr="009E4D5E">
        <w:rPr>
          <w:rFonts w:ascii="Times New Roman" w:hAnsi="Times New Roman" w:cs="Times New Roman"/>
          <w:sz w:val="24"/>
          <w:szCs w:val="24"/>
        </w:rPr>
        <w:t xml:space="preserve">how the preliminary ruling procedure is utilised to support this goal, </w:t>
      </w:r>
      <w:r w:rsidR="009170C4" w:rsidRPr="009E4D5E">
        <w:rPr>
          <w:rFonts w:ascii="Times New Roman" w:hAnsi="Times New Roman" w:cs="Times New Roman"/>
          <w:sz w:val="24"/>
          <w:szCs w:val="24"/>
        </w:rPr>
        <w:t xml:space="preserve">the role of transparent judicial procedures in fostering trust and accountability, </w:t>
      </w:r>
      <w:r w:rsidR="009F2CDA" w:rsidRPr="009E4D5E">
        <w:rPr>
          <w:rFonts w:ascii="Times New Roman" w:hAnsi="Times New Roman" w:cs="Times New Roman"/>
          <w:sz w:val="24"/>
          <w:szCs w:val="24"/>
        </w:rPr>
        <w:t xml:space="preserve">and how the principles enshrined in Article 19 TEU and Article 47 of the Charter are being implemented across Member States. </w:t>
      </w:r>
    </w:p>
    <w:p w14:paraId="6ABED9EF" w14:textId="77777777" w:rsidR="00DD5F6E" w:rsidRPr="00BA4A8A" w:rsidRDefault="00DD5F6E" w:rsidP="00FB7BD2">
      <w:pPr>
        <w:pStyle w:val="NoSpacing"/>
        <w:rPr>
          <w:rFonts w:ascii="Times New Roman" w:hAnsi="Times New Roman" w:cs="Times New Roman"/>
          <w:sz w:val="24"/>
          <w:szCs w:val="24"/>
        </w:rPr>
      </w:pPr>
    </w:p>
    <w:p w14:paraId="304DC909" w14:textId="244E619F" w:rsidR="00F65067" w:rsidRPr="00BA4A8A" w:rsidRDefault="002E3C0D" w:rsidP="00556DCE">
      <w:pPr>
        <w:pStyle w:val="ListParagraph"/>
        <w:numPr>
          <w:ilvl w:val="0"/>
          <w:numId w:val="1"/>
        </w:numPr>
        <w:spacing w:line="240" w:lineRule="auto"/>
        <w:jc w:val="both"/>
        <w:rPr>
          <w:rFonts w:ascii="Times New Roman" w:hAnsi="Times New Roman" w:cs="Times New Roman"/>
          <w:b/>
          <w:bCs/>
          <w:i/>
          <w:iCs/>
          <w:sz w:val="24"/>
          <w:szCs w:val="24"/>
        </w:rPr>
      </w:pPr>
      <w:r w:rsidRPr="00BA4A8A">
        <w:rPr>
          <w:rFonts w:ascii="Times New Roman" w:hAnsi="Times New Roman" w:cs="Times New Roman"/>
          <w:b/>
          <w:bCs/>
          <w:i/>
          <w:iCs/>
          <w:sz w:val="24"/>
          <w:szCs w:val="24"/>
        </w:rPr>
        <w:t>Question(s)</w:t>
      </w:r>
    </w:p>
    <w:p w14:paraId="23217799" w14:textId="77777777" w:rsidR="00056137" w:rsidRPr="00BA4A8A" w:rsidRDefault="00056137" w:rsidP="00FB7BD2">
      <w:pPr>
        <w:pStyle w:val="NoSpacing"/>
        <w:rPr>
          <w:rFonts w:ascii="Times New Roman" w:hAnsi="Times New Roman" w:cs="Times New Roman"/>
          <w:sz w:val="24"/>
          <w:szCs w:val="24"/>
        </w:rPr>
      </w:pPr>
    </w:p>
    <w:p w14:paraId="7FF3CEEC" w14:textId="759A22B4" w:rsidR="001856ED" w:rsidRDefault="006612CB" w:rsidP="001856ED">
      <w:pPr>
        <w:pStyle w:val="ListParagraph"/>
        <w:numPr>
          <w:ilvl w:val="0"/>
          <w:numId w:val="12"/>
        </w:numPr>
        <w:spacing w:line="240" w:lineRule="auto"/>
        <w:jc w:val="both"/>
        <w:rPr>
          <w:rFonts w:ascii="Times New Roman" w:hAnsi="Times New Roman" w:cs="Times New Roman"/>
          <w:sz w:val="24"/>
          <w:szCs w:val="24"/>
        </w:rPr>
      </w:pPr>
      <w:r w:rsidRPr="001856ED">
        <w:rPr>
          <w:rFonts w:ascii="Times New Roman" w:hAnsi="Times New Roman" w:cs="Times New Roman"/>
          <w:sz w:val="24"/>
          <w:szCs w:val="24"/>
        </w:rPr>
        <w:t xml:space="preserve">Has your Court or have other courts in </w:t>
      </w:r>
      <w:r w:rsidR="006C2371" w:rsidRPr="001856ED">
        <w:rPr>
          <w:rFonts w:ascii="Times New Roman" w:hAnsi="Times New Roman" w:cs="Times New Roman"/>
          <w:sz w:val="24"/>
          <w:szCs w:val="24"/>
        </w:rPr>
        <w:t xml:space="preserve">your Member State </w:t>
      </w:r>
      <w:r w:rsidR="00513E85" w:rsidRPr="001856ED">
        <w:rPr>
          <w:rFonts w:ascii="Times New Roman" w:hAnsi="Times New Roman" w:cs="Times New Roman"/>
          <w:sz w:val="24"/>
          <w:szCs w:val="24"/>
        </w:rPr>
        <w:t xml:space="preserve">utilised </w:t>
      </w:r>
      <w:r w:rsidR="001856ED" w:rsidRPr="001856ED">
        <w:rPr>
          <w:rFonts w:ascii="Times New Roman" w:hAnsi="Times New Roman" w:cs="Times New Roman"/>
          <w:sz w:val="24"/>
          <w:szCs w:val="24"/>
        </w:rPr>
        <w:t xml:space="preserve">the preliminary </w:t>
      </w:r>
      <w:r w:rsidR="00BE5B05">
        <w:rPr>
          <w:rFonts w:ascii="Times New Roman" w:hAnsi="Times New Roman" w:cs="Times New Roman"/>
          <w:sz w:val="24"/>
          <w:szCs w:val="24"/>
        </w:rPr>
        <w:t xml:space="preserve">reference </w:t>
      </w:r>
      <w:r w:rsidR="001856ED" w:rsidRPr="001856ED">
        <w:rPr>
          <w:rFonts w:ascii="Times New Roman" w:hAnsi="Times New Roman" w:cs="Times New Roman"/>
          <w:sz w:val="24"/>
          <w:szCs w:val="24"/>
        </w:rPr>
        <w:t xml:space="preserve">procedure </w:t>
      </w:r>
      <w:r w:rsidR="00BE5B05">
        <w:rPr>
          <w:rFonts w:ascii="Times New Roman" w:hAnsi="Times New Roman" w:cs="Times New Roman"/>
          <w:sz w:val="24"/>
          <w:szCs w:val="24"/>
        </w:rPr>
        <w:t xml:space="preserve">in respect of </w:t>
      </w:r>
      <w:r w:rsidR="001856ED" w:rsidRPr="001856ED">
        <w:rPr>
          <w:rFonts w:ascii="Times New Roman" w:hAnsi="Times New Roman" w:cs="Times New Roman"/>
          <w:sz w:val="24"/>
          <w:szCs w:val="24"/>
        </w:rPr>
        <w:t xml:space="preserve">national measures </w:t>
      </w:r>
      <w:r w:rsidR="00BE5B05">
        <w:rPr>
          <w:rFonts w:ascii="Times New Roman" w:hAnsi="Times New Roman" w:cs="Times New Roman"/>
          <w:sz w:val="24"/>
          <w:szCs w:val="24"/>
        </w:rPr>
        <w:t xml:space="preserve">alleged to have an </w:t>
      </w:r>
      <w:r w:rsidR="001856ED" w:rsidRPr="001856ED">
        <w:rPr>
          <w:rFonts w:ascii="Times New Roman" w:hAnsi="Times New Roman" w:cs="Times New Roman"/>
          <w:sz w:val="24"/>
          <w:szCs w:val="24"/>
        </w:rPr>
        <w:t>impac</w:t>
      </w:r>
      <w:r w:rsidR="00BE5B05">
        <w:rPr>
          <w:rFonts w:ascii="Times New Roman" w:hAnsi="Times New Roman" w:cs="Times New Roman"/>
          <w:sz w:val="24"/>
          <w:szCs w:val="24"/>
        </w:rPr>
        <w:t>t</w:t>
      </w:r>
      <w:r w:rsidR="001856ED" w:rsidRPr="001856ED">
        <w:rPr>
          <w:rFonts w:ascii="Times New Roman" w:hAnsi="Times New Roman" w:cs="Times New Roman"/>
          <w:sz w:val="24"/>
          <w:szCs w:val="24"/>
        </w:rPr>
        <w:t xml:space="preserve"> on the independence of the Judiciary</w:t>
      </w:r>
      <w:r w:rsidR="00BE5B05">
        <w:rPr>
          <w:rFonts w:ascii="Times New Roman" w:hAnsi="Times New Roman" w:cs="Times New Roman"/>
          <w:sz w:val="24"/>
          <w:szCs w:val="24"/>
        </w:rPr>
        <w:t xml:space="preserve"> in another jurisdiction</w:t>
      </w:r>
      <w:r w:rsidR="001856ED" w:rsidRPr="001856ED">
        <w:rPr>
          <w:rFonts w:ascii="Times New Roman" w:hAnsi="Times New Roman" w:cs="Times New Roman"/>
          <w:sz w:val="24"/>
          <w:szCs w:val="24"/>
        </w:rPr>
        <w:t>?</w:t>
      </w:r>
      <w:r w:rsidR="00BE5B05">
        <w:rPr>
          <w:rFonts w:ascii="Times New Roman" w:hAnsi="Times New Roman" w:cs="Times New Roman"/>
          <w:sz w:val="24"/>
          <w:szCs w:val="24"/>
        </w:rPr>
        <w:t xml:space="preserve"> </w:t>
      </w:r>
    </w:p>
    <w:p w14:paraId="04DFC393" w14:textId="744C1D93" w:rsidR="00BE5B05" w:rsidRDefault="00BE5B05" w:rsidP="001856ED">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Has your Court or have other courts in your Member State utilised the preliminary reference procedure in respect of national measures alleged to have an impact on the independence of the judiciary in your own jurisdiction?</w:t>
      </w:r>
    </w:p>
    <w:p w14:paraId="333052FD" w14:textId="4C1C529D" w:rsidR="00A01CCA" w:rsidRPr="001856ED" w:rsidRDefault="00A01CCA" w:rsidP="001856ED">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your view, </w:t>
      </w:r>
      <w:r w:rsidR="00C642A3">
        <w:rPr>
          <w:rFonts w:ascii="Times New Roman" w:hAnsi="Times New Roman" w:cs="Times New Roman"/>
          <w:sz w:val="24"/>
          <w:szCs w:val="24"/>
        </w:rPr>
        <w:t>is the prelim</w:t>
      </w:r>
      <w:r w:rsidR="007548D6">
        <w:rPr>
          <w:rFonts w:ascii="Times New Roman" w:hAnsi="Times New Roman" w:cs="Times New Roman"/>
          <w:sz w:val="24"/>
          <w:szCs w:val="24"/>
        </w:rPr>
        <w:t xml:space="preserve">inary ruling procedure an appropriate and effective mechanism for </w:t>
      </w:r>
      <w:r w:rsidR="00BE5B05">
        <w:rPr>
          <w:rFonts w:ascii="Times New Roman" w:hAnsi="Times New Roman" w:cs="Times New Roman"/>
          <w:sz w:val="24"/>
          <w:szCs w:val="24"/>
        </w:rPr>
        <w:t xml:space="preserve">raising issues in respect of </w:t>
      </w:r>
      <w:r w:rsidR="00C03A5B">
        <w:rPr>
          <w:rFonts w:ascii="Times New Roman" w:hAnsi="Times New Roman" w:cs="Times New Roman"/>
          <w:sz w:val="24"/>
          <w:szCs w:val="24"/>
        </w:rPr>
        <w:t xml:space="preserve">national measures </w:t>
      </w:r>
      <w:r w:rsidR="003D6B46">
        <w:rPr>
          <w:rFonts w:ascii="Times New Roman" w:hAnsi="Times New Roman" w:cs="Times New Roman"/>
          <w:sz w:val="24"/>
          <w:szCs w:val="24"/>
        </w:rPr>
        <w:t>alleged to have an impact on</w:t>
      </w:r>
      <w:r w:rsidR="00C03A5B">
        <w:rPr>
          <w:rFonts w:ascii="Times New Roman" w:hAnsi="Times New Roman" w:cs="Times New Roman"/>
          <w:sz w:val="24"/>
          <w:szCs w:val="24"/>
        </w:rPr>
        <w:t xml:space="preserve"> judicial independence?</w:t>
      </w:r>
      <w:r w:rsidR="003D6B46">
        <w:rPr>
          <w:rFonts w:ascii="Times New Roman" w:hAnsi="Times New Roman" w:cs="Times New Roman"/>
          <w:sz w:val="24"/>
          <w:szCs w:val="24"/>
        </w:rPr>
        <w:t xml:space="preserve">  </w:t>
      </w:r>
    </w:p>
    <w:p w14:paraId="40E1C553" w14:textId="506B7A4F" w:rsidR="00657288" w:rsidRDefault="0024729C" w:rsidP="006668EB">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Regardless of </w:t>
      </w:r>
      <w:proofErr w:type="gramStart"/>
      <w:r>
        <w:rPr>
          <w:rFonts w:ascii="Times New Roman" w:hAnsi="Times New Roman" w:cs="Times New Roman"/>
          <w:sz w:val="24"/>
          <w:szCs w:val="24"/>
        </w:rPr>
        <w:t xml:space="preserve">whether </w:t>
      </w:r>
      <w:r w:rsidRPr="00ED332D">
        <w:rPr>
          <w:rFonts w:ascii="Times New Roman" w:hAnsi="Times New Roman" w:cs="Times New Roman"/>
          <w:sz w:val="24"/>
          <w:szCs w:val="24"/>
        </w:rPr>
        <w:t>or not</w:t>
      </w:r>
      <w:proofErr w:type="gramEnd"/>
      <w:r w:rsidRPr="00ED332D">
        <w:rPr>
          <w:rFonts w:ascii="Times New Roman" w:hAnsi="Times New Roman" w:cs="Times New Roman"/>
          <w:sz w:val="24"/>
          <w:szCs w:val="24"/>
        </w:rPr>
        <w:t xml:space="preserve"> your</w:t>
      </w:r>
      <w:r>
        <w:rPr>
          <w:rFonts w:ascii="Times New Roman" w:hAnsi="Times New Roman" w:cs="Times New Roman"/>
          <w:sz w:val="24"/>
          <w:szCs w:val="24"/>
        </w:rPr>
        <w:t xml:space="preserve"> </w:t>
      </w:r>
      <w:r w:rsidR="003B2F57">
        <w:rPr>
          <w:rFonts w:ascii="Times New Roman" w:hAnsi="Times New Roman" w:cs="Times New Roman"/>
          <w:sz w:val="24"/>
          <w:szCs w:val="24"/>
        </w:rPr>
        <w:t>Court or Member State has made a request for a preliminary ruling, h</w:t>
      </w:r>
      <w:r w:rsidR="00872A5B" w:rsidRPr="001856ED">
        <w:rPr>
          <w:rFonts w:ascii="Times New Roman" w:hAnsi="Times New Roman" w:cs="Times New Roman"/>
          <w:sz w:val="24"/>
          <w:szCs w:val="24"/>
        </w:rPr>
        <w:t xml:space="preserve">as the </w:t>
      </w:r>
      <w:r w:rsidR="00F65067" w:rsidRPr="001856ED">
        <w:rPr>
          <w:rFonts w:ascii="Times New Roman" w:hAnsi="Times New Roman" w:cs="Times New Roman"/>
          <w:sz w:val="24"/>
          <w:szCs w:val="24"/>
        </w:rPr>
        <w:t xml:space="preserve">CJEU's judgment in </w:t>
      </w:r>
      <w:r w:rsidR="00F65067" w:rsidRPr="001856ED">
        <w:rPr>
          <w:rStyle w:val="Emphasis"/>
          <w:rFonts w:ascii="Times New Roman" w:hAnsi="Times New Roman" w:cs="Times New Roman"/>
          <w:sz w:val="24"/>
          <w:szCs w:val="24"/>
        </w:rPr>
        <w:t>Portuguese Judges</w:t>
      </w:r>
      <w:r w:rsidR="00F65067" w:rsidRPr="001856ED">
        <w:rPr>
          <w:rFonts w:ascii="Times New Roman" w:hAnsi="Times New Roman" w:cs="Times New Roman"/>
          <w:sz w:val="24"/>
          <w:szCs w:val="24"/>
        </w:rPr>
        <w:t xml:space="preserve"> and its interpretation of Article 19(1) TEU</w:t>
      </w:r>
      <w:r w:rsidR="00977AF7" w:rsidRPr="001856ED">
        <w:rPr>
          <w:rFonts w:ascii="Times New Roman" w:hAnsi="Times New Roman" w:cs="Times New Roman"/>
          <w:sz w:val="24"/>
          <w:szCs w:val="24"/>
        </w:rPr>
        <w:t xml:space="preserve"> </w:t>
      </w:r>
      <w:r w:rsidR="003B2F57">
        <w:rPr>
          <w:rFonts w:ascii="Times New Roman" w:hAnsi="Times New Roman" w:cs="Times New Roman"/>
          <w:sz w:val="24"/>
          <w:szCs w:val="24"/>
        </w:rPr>
        <w:t xml:space="preserve">and subsequent jurisprudence </w:t>
      </w:r>
      <w:r w:rsidR="00977AF7" w:rsidRPr="001856ED">
        <w:rPr>
          <w:rFonts w:ascii="Times New Roman" w:hAnsi="Times New Roman" w:cs="Times New Roman"/>
          <w:sz w:val="24"/>
          <w:szCs w:val="24"/>
        </w:rPr>
        <w:t>had pra</w:t>
      </w:r>
      <w:r w:rsidR="00360EF0" w:rsidRPr="001856ED">
        <w:rPr>
          <w:rFonts w:ascii="Times New Roman" w:hAnsi="Times New Roman" w:cs="Times New Roman"/>
          <w:sz w:val="24"/>
          <w:szCs w:val="24"/>
        </w:rPr>
        <w:t xml:space="preserve">ctical consequences </w:t>
      </w:r>
      <w:r w:rsidR="0079493C" w:rsidRPr="001856ED">
        <w:rPr>
          <w:rFonts w:ascii="Times New Roman" w:hAnsi="Times New Roman" w:cs="Times New Roman"/>
          <w:sz w:val="24"/>
          <w:szCs w:val="24"/>
        </w:rPr>
        <w:t xml:space="preserve">for </w:t>
      </w:r>
      <w:r w:rsidR="00F65067" w:rsidRPr="001856ED">
        <w:rPr>
          <w:rFonts w:ascii="Times New Roman" w:hAnsi="Times New Roman" w:cs="Times New Roman"/>
          <w:sz w:val="24"/>
          <w:szCs w:val="24"/>
        </w:rPr>
        <w:t>national measures or practices</w:t>
      </w:r>
      <w:r w:rsidR="003D6B46">
        <w:rPr>
          <w:rFonts w:ascii="Times New Roman" w:hAnsi="Times New Roman" w:cs="Times New Roman"/>
          <w:sz w:val="24"/>
          <w:szCs w:val="24"/>
        </w:rPr>
        <w:t xml:space="preserve"> within your jurisdiction</w:t>
      </w:r>
      <w:r w:rsidR="004438DF" w:rsidRPr="001856ED">
        <w:rPr>
          <w:rFonts w:ascii="Times New Roman" w:hAnsi="Times New Roman" w:cs="Times New Roman"/>
          <w:sz w:val="24"/>
          <w:szCs w:val="24"/>
        </w:rPr>
        <w:t>?</w:t>
      </w:r>
    </w:p>
    <w:p w14:paraId="0E5BB8E0" w14:textId="14262B49" w:rsidR="00C40BBC" w:rsidRPr="009B32A5" w:rsidRDefault="00C40BBC" w:rsidP="005B363A">
      <w:pPr>
        <w:pStyle w:val="ListParagraph"/>
        <w:spacing w:line="240" w:lineRule="auto"/>
        <w:ind w:left="1080"/>
        <w:jc w:val="both"/>
        <w:rPr>
          <w:rFonts w:ascii="Times New Roman" w:hAnsi="Times New Roman" w:cs="Times New Roman"/>
          <w:sz w:val="24"/>
          <w:szCs w:val="24"/>
        </w:rPr>
      </w:pPr>
    </w:p>
    <w:sectPr w:rsidR="00C40BBC" w:rsidRPr="009B32A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D65A3" w14:textId="77777777" w:rsidR="00495D57" w:rsidRDefault="00495D57" w:rsidP="00C81A64">
      <w:pPr>
        <w:spacing w:after="0" w:line="240" w:lineRule="auto"/>
      </w:pPr>
      <w:r>
        <w:separator/>
      </w:r>
    </w:p>
  </w:endnote>
  <w:endnote w:type="continuationSeparator" w:id="0">
    <w:p w14:paraId="42A7518F" w14:textId="77777777" w:rsidR="00495D57" w:rsidRDefault="00495D57" w:rsidP="00C81A64">
      <w:pPr>
        <w:spacing w:after="0" w:line="240" w:lineRule="auto"/>
      </w:pPr>
      <w:r>
        <w:continuationSeparator/>
      </w:r>
    </w:p>
  </w:endnote>
  <w:endnote w:type="continuationNotice" w:id="1">
    <w:p w14:paraId="569CAED7" w14:textId="77777777" w:rsidR="00495D57" w:rsidRDefault="00495D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SourceSansPro-Regular">
    <w:altName w:val="Yu Gothic"/>
    <w:panose1 w:val="00000000000000000000"/>
    <w:charset w:val="80"/>
    <w:family w:val="swiss"/>
    <w:notTrueType/>
    <w:pitch w:val="default"/>
    <w:sig w:usb0="00000001" w:usb1="08070000" w:usb2="00000010" w:usb3="00000000" w:csb0="00020000" w:csb1="00000000"/>
  </w:font>
  <w:font w:name="SourceSansPro-It">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B8BD9" w14:textId="77777777" w:rsidR="0031574F" w:rsidRDefault="00315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51122730"/>
      <w:docPartObj>
        <w:docPartGallery w:val="Page Numbers (Bottom of Page)"/>
        <w:docPartUnique/>
      </w:docPartObj>
    </w:sdtPr>
    <w:sdtEndPr>
      <w:rPr>
        <w:noProof/>
      </w:rPr>
    </w:sdtEndPr>
    <w:sdtContent>
      <w:p w14:paraId="57F83607" w14:textId="43DE6997" w:rsidR="00C81A64" w:rsidRPr="00C81A64" w:rsidRDefault="00C81A64" w:rsidP="00C81A64">
        <w:pPr>
          <w:pStyle w:val="Footer"/>
          <w:jc w:val="right"/>
          <w:rPr>
            <w:sz w:val="20"/>
            <w:szCs w:val="20"/>
          </w:rPr>
        </w:pPr>
        <w:r w:rsidRPr="00C81A64">
          <w:rPr>
            <w:sz w:val="20"/>
            <w:szCs w:val="20"/>
          </w:rPr>
          <w:fldChar w:fldCharType="begin"/>
        </w:r>
        <w:r w:rsidRPr="00C81A64">
          <w:rPr>
            <w:sz w:val="20"/>
            <w:szCs w:val="20"/>
          </w:rPr>
          <w:instrText xml:space="preserve"> PAGE   \* MERGEFORMAT </w:instrText>
        </w:r>
        <w:r w:rsidRPr="00C81A64">
          <w:rPr>
            <w:sz w:val="20"/>
            <w:szCs w:val="20"/>
          </w:rPr>
          <w:fldChar w:fldCharType="separate"/>
        </w:r>
        <w:r w:rsidRPr="00C81A64">
          <w:rPr>
            <w:noProof/>
            <w:sz w:val="20"/>
            <w:szCs w:val="20"/>
          </w:rPr>
          <w:t>2</w:t>
        </w:r>
        <w:r w:rsidRPr="00C81A64">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157B4" w14:textId="77777777" w:rsidR="0031574F" w:rsidRDefault="00315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DB4DD" w14:textId="77777777" w:rsidR="00495D57" w:rsidRDefault="00495D57" w:rsidP="00C81A64">
      <w:pPr>
        <w:spacing w:after="0" w:line="240" w:lineRule="auto"/>
      </w:pPr>
      <w:r>
        <w:separator/>
      </w:r>
    </w:p>
  </w:footnote>
  <w:footnote w:type="continuationSeparator" w:id="0">
    <w:p w14:paraId="5490635D" w14:textId="77777777" w:rsidR="00495D57" w:rsidRDefault="00495D57" w:rsidP="00C81A64">
      <w:pPr>
        <w:spacing w:after="0" w:line="240" w:lineRule="auto"/>
      </w:pPr>
      <w:r>
        <w:continuationSeparator/>
      </w:r>
    </w:p>
  </w:footnote>
  <w:footnote w:type="continuationNotice" w:id="1">
    <w:p w14:paraId="4A6F5D2F" w14:textId="77777777" w:rsidR="00495D57" w:rsidRDefault="00495D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24BB" w14:textId="552944D5" w:rsidR="0031574F" w:rsidRDefault="00315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504CE" w14:textId="2B4274B9" w:rsidR="0031574F" w:rsidRDefault="003157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847CF" w14:textId="7D80E6F5" w:rsidR="0031574F" w:rsidRDefault="00315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65F26"/>
    <w:multiLevelType w:val="hybridMultilevel"/>
    <w:tmpl w:val="04DCCDE0"/>
    <w:lvl w:ilvl="0" w:tplc="6E08AD18">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77057A"/>
    <w:multiLevelType w:val="hybridMultilevel"/>
    <w:tmpl w:val="574A26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DF46CEE"/>
    <w:multiLevelType w:val="hybridMultilevel"/>
    <w:tmpl w:val="6D141276"/>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47E4C0F"/>
    <w:multiLevelType w:val="hybridMultilevel"/>
    <w:tmpl w:val="33E644C2"/>
    <w:lvl w:ilvl="0" w:tplc="FFFFFFFF">
      <w:start w:val="1"/>
      <w:numFmt w:val="decimal"/>
      <w:lvlText w:val="%1."/>
      <w:lvlJc w:val="left"/>
      <w:pPr>
        <w:ind w:left="720" w:hanging="360"/>
      </w:pPr>
      <w:rPr>
        <w:rFonts w:cstheme="minorBid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1F3D95"/>
    <w:multiLevelType w:val="hybridMultilevel"/>
    <w:tmpl w:val="33E644C2"/>
    <w:lvl w:ilvl="0" w:tplc="FFFFFFFF">
      <w:start w:val="1"/>
      <w:numFmt w:val="decimal"/>
      <w:lvlText w:val="%1."/>
      <w:lvlJc w:val="left"/>
      <w:pPr>
        <w:ind w:left="720" w:hanging="360"/>
      </w:pPr>
      <w:rPr>
        <w:rFonts w:cstheme="minorBid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466977"/>
    <w:multiLevelType w:val="multilevel"/>
    <w:tmpl w:val="83AE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0F2BFC"/>
    <w:multiLevelType w:val="hybridMultilevel"/>
    <w:tmpl w:val="5650B36E"/>
    <w:lvl w:ilvl="0" w:tplc="004CA9CA">
      <w:start w:val="1"/>
      <w:numFmt w:val="decimal"/>
      <w:lvlText w:val="%1."/>
      <w:lvlJc w:val="left"/>
      <w:pPr>
        <w:ind w:left="720" w:hanging="360"/>
      </w:pPr>
      <w:rPr>
        <w:rFonts w:cstheme="minorBidi"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9B22B07"/>
    <w:multiLevelType w:val="hybridMultilevel"/>
    <w:tmpl w:val="DB606E6C"/>
    <w:lvl w:ilvl="0" w:tplc="C61EFC14">
      <w:start w:val="1"/>
      <w:numFmt w:val="bullet"/>
      <w:lvlText w:val=""/>
      <w:lvlJc w:val="left"/>
      <w:pPr>
        <w:ind w:left="720" w:hanging="360"/>
      </w:pPr>
      <w:rPr>
        <w:rFonts w:ascii="Symbol" w:hAnsi="Symbol"/>
      </w:rPr>
    </w:lvl>
    <w:lvl w:ilvl="1" w:tplc="30FC9DB0">
      <w:start w:val="1"/>
      <w:numFmt w:val="bullet"/>
      <w:lvlText w:val=""/>
      <w:lvlJc w:val="left"/>
      <w:pPr>
        <w:ind w:left="720" w:hanging="360"/>
      </w:pPr>
      <w:rPr>
        <w:rFonts w:ascii="Symbol" w:hAnsi="Symbol"/>
      </w:rPr>
    </w:lvl>
    <w:lvl w:ilvl="2" w:tplc="D0B2F0A6">
      <w:start w:val="1"/>
      <w:numFmt w:val="bullet"/>
      <w:lvlText w:val=""/>
      <w:lvlJc w:val="left"/>
      <w:pPr>
        <w:ind w:left="720" w:hanging="360"/>
      </w:pPr>
      <w:rPr>
        <w:rFonts w:ascii="Symbol" w:hAnsi="Symbol"/>
      </w:rPr>
    </w:lvl>
    <w:lvl w:ilvl="3" w:tplc="9192FA8E">
      <w:start w:val="1"/>
      <w:numFmt w:val="bullet"/>
      <w:lvlText w:val=""/>
      <w:lvlJc w:val="left"/>
      <w:pPr>
        <w:ind w:left="720" w:hanging="360"/>
      </w:pPr>
      <w:rPr>
        <w:rFonts w:ascii="Symbol" w:hAnsi="Symbol"/>
      </w:rPr>
    </w:lvl>
    <w:lvl w:ilvl="4" w:tplc="E64201B4">
      <w:start w:val="1"/>
      <w:numFmt w:val="bullet"/>
      <w:lvlText w:val=""/>
      <w:lvlJc w:val="left"/>
      <w:pPr>
        <w:ind w:left="720" w:hanging="360"/>
      </w:pPr>
      <w:rPr>
        <w:rFonts w:ascii="Symbol" w:hAnsi="Symbol"/>
      </w:rPr>
    </w:lvl>
    <w:lvl w:ilvl="5" w:tplc="BBA2B3A2">
      <w:start w:val="1"/>
      <w:numFmt w:val="bullet"/>
      <w:lvlText w:val=""/>
      <w:lvlJc w:val="left"/>
      <w:pPr>
        <w:ind w:left="720" w:hanging="360"/>
      </w:pPr>
      <w:rPr>
        <w:rFonts w:ascii="Symbol" w:hAnsi="Symbol"/>
      </w:rPr>
    </w:lvl>
    <w:lvl w:ilvl="6" w:tplc="C4BE483E">
      <w:start w:val="1"/>
      <w:numFmt w:val="bullet"/>
      <w:lvlText w:val=""/>
      <w:lvlJc w:val="left"/>
      <w:pPr>
        <w:ind w:left="720" w:hanging="360"/>
      </w:pPr>
      <w:rPr>
        <w:rFonts w:ascii="Symbol" w:hAnsi="Symbol"/>
      </w:rPr>
    </w:lvl>
    <w:lvl w:ilvl="7" w:tplc="E4C4B260">
      <w:start w:val="1"/>
      <w:numFmt w:val="bullet"/>
      <w:lvlText w:val=""/>
      <w:lvlJc w:val="left"/>
      <w:pPr>
        <w:ind w:left="720" w:hanging="360"/>
      </w:pPr>
      <w:rPr>
        <w:rFonts w:ascii="Symbol" w:hAnsi="Symbol"/>
      </w:rPr>
    </w:lvl>
    <w:lvl w:ilvl="8" w:tplc="99D2B0BA">
      <w:start w:val="1"/>
      <w:numFmt w:val="bullet"/>
      <w:lvlText w:val=""/>
      <w:lvlJc w:val="left"/>
      <w:pPr>
        <w:ind w:left="720" w:hanging="360"/>
      </w:pPr>
      <w:rPr>
        <w:rFonts w:ascii="Symbol" w:hAnsi="Symbol"/>
      </w:rPr>
    </w:lvl>
  </w:abstractNum>
  <w:abstractNum w:abstractNumId="8" w15:restartNumberingAfterBreak="0">
    <w:nsid w:val="3C6F2268"/>
    <w:multiLevelType w:val="hybridMultilevel"/>
    <w:tmpl w:val="9CDE99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63458AD"/>
    <w:multiLevelType w:val="multilevel"/>
    <w:tmpl w:val="3D6A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F00A28"/>
    <w:multiLevelType w:val="hybridMultilevel"/>
    <w:tmpl w:val="3B1ADCC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5CBA12C4"/>
    <w:multiLevelType w:val="hybridMultilevel"/>
    <w:tmpl w:val="33E644C2"/>
    <w:lvl w:ilvl="0" w:tplc="0CC41B42">
      <w:start w:val="1"/>
      <w:numFmt w:val="decimal"/>
      <w:lvlText w:val="%1."/>
      <w:lvlJc w:val="left"/>
      <w:pPr>
        <w:ind w:left="720" w:hanging="360"/>
      </w:pPr>
      <w:rPr>
        <w:rFonts w:cstheme="minorBidi"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86983249">
    <w:abstractNumId w:val="2"/>
  </w:num>
  <w:num w:numId="2" w16cid:durableId="369382854">
    <w:abstractNumId w:val="8"/>
  </w:num>
  <w:num w:numId="3" w16cid:durableId="591356738">
    <w:abstractNumId w:val="1"/>
  </w:num>
  <w:num w:numId="4" w16cid:durableId="2090425593">
    <w:abstractNumId w:val="11"/>
  </w:num>
  <w:num w:numId="5" w16cid:durableId="20327608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2920856">
    <w:abstractNumId w:val="6"/>
  </w:num>
  <w:num w:numId="7" w16cid:durableId="1005979784">
    <w:abstractNumId w:val="7"/>
  </w:num>
  <w:num w:numId="8" w16cid:durableId="1010066351">
    <w:abstractNumId w:val="9"/>
  </w:num>
  <w:num w:numId="9" w16cid:durableId="1433665841">
    <w:abstractNumId w:val="5"/>
  </w:num>
  <w:num w:numId="10" w16cid:durableId="966542111">
    <w:abstractNumId w:val="4"/>
  </w:num>
  <w:num w:numId="11" w16cid:durableId="522937742">
    <w:abstractNumId w:val="3"/>
  </w:num>
  <w:num w:numId="12" w16cid:durableId="13225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1E"/>
    <w:rsid w:val="00003D64"/>
    <w:rsid w:val="0000457E"/>
    <w:rsid w:val="0001316E"/>
    <w:rsid w:val="00023E6B"/>
    <w:rsid w:val="00045B9B"/>
    <w:rsid w:val="000464E3"/>
    <w:rsid w:val="00056137"/>
    <w:rsid w:val="00066E04"/>
    <w:rsid w:val="00070371"/>
    <w:rsid w:val="00084FE0"/>
    <w:rsid w:val="00093637"/>
    <w:rsid w:val="00096368"/>
    <w:rsid w:val="000D1213"/>
    <w:rsid w:val="000D20DB"/>
    <w:rsid w:val="000D4EFE"/>
    <w:rsid w:val="000D5274"/>
    <w:rsid w:val="000F49BC"/>
    <w:rsid w:val="0011377E"/>
    <w:rsid w:val="001245C3"/>
    <w:rsid w:val="00125283"/>
    <w:rsid w:val="0012699D"/>
    <w:rsid w:val="00144E02"/>
    <w:rsid w:val="001718D4"/>
    <w:rsid w:val="001731D6"/>
    <w:rsid w:val="0018235F"/>
    <w:rsid w:val="00183C22"/>
    <w:rsid w:val="001856ED"/>
    <w:rsid w:val="001A59F8"/>
    <w:rsid w:val="001B6EA2"/>
    <w:rsid w:val="001C0753"/>
    <w:rsid w:val="001E7F92"/>
    <w:rsid w:val="001F3015"/>
    <w:rsid w:val="001F6DE1"/>
    <w:rsid w:val="002020C4"/>
    <w:rsid w:val="00205654"/>
    <w:rsid w:val="00210B3C"/>
    <w:rsid w:val="00211E92"/>
    <w:rsid w:val="002174C9"/>
    <w:rsid w:val="00235CA0"/>
    <w:rsid w:val="0024729C"/>
    <w:rsid w:val="00264FBD"/>
    <w:rsid w:val="00270782"/>
    <w:rsid w:val="0027431B"/>
    <w:rsid w:val="00284C8E"/>
    <w:rsid w:val="002878F0"/>
    <w:rsid w:val="00294A4C"/>
    <w:rsid w:val="002E3C0D"/>
    <w:rsid w:val="00304910"/>
    <w:rsid w:val="003125F5"/>
    <w:rsid w:val="0031334C"/>
    <w:rsid w:val="0031574F"/>
    <w:rsid w:val="00324934"/>
    <w:rsid w:val="003349EB"/>
    <w:rsid w:val="003461DC"/>
    <w:rsid w:val="00360A11"/>
    <w:rsid w:val="00360EF0"/>
    <w:rsid w:val="00361FBD"/>
    <w:rsid w:val="00370E07"/>
    <w:rsid w:val="00385BD4"/>
    <w:rsid w:val="003B1493"/>
    <w:rsid w:val="003B2F57"/>
    <w:rsid w:val="003B5026"/>
    <w:rsid w:val="003B5592"/>
    <w:rsid w:val="003B64D9"/>
    <w:rsid w:val="003D6B46"/>
    <w:rsid w:val="003F0397"/>
    <w:rsid w:val="004013A1"/>
    <w:rsid w:val="004109FE"/>
    <w:rsid w:val="004114C7"/>
    <w:rsid w:val="00413395"/>
    <w:rsid w:val="00426914"/>
    <w:rsid w:val="004377A1"/>
    <w:rsid w:val="004438DF"/>
    <w:rsid w:val="00456CD7"/>
    <w:rsid w:val="00473BFC"/>
    <w:rsid w:val="00475F83"/>
    <w:rsid w:val="004862BE"/>
    <w:rsid w:val="00491F39"/>
    <w:rsid w:val="00492DF5"/>
    <w:rsid w:val="00495D57"/>
    <w:rsid w:val="004B6291"/>
    <w:rsid w:val="004D3239"/>
    <w:rsid w:val="004D5742"/>
    <w:rsid w:val="00513E85"/>
    <w:rsid w:val="00521E15"/>
    <w:rsid w:val="00553911"/>
    <w:rsid w:val="00556DCE"/>
    <w:rsid w:val="005636DC"/>
    <w:rsid w:val="00580FB6"/>
    <w:rsid w:val="00582E40"/>
    <w:rsid w:val="005A0233"/>
    <w:rsid w:val="005B363A"/>
    <w:rsid w:val="005D3BEB"/>
    <w:rsid w:val="005D5950"/>
    <w:rsid w:val="005E06CF"/>
    <w:rsid w:val="005F1BB8"/>
    <w:rsid w:val="00613195"/>
    <w:rsid w:val="00657288"/>
    <w:rsid w:val="006612CB"/>
    <w:rsid w:val="0066523A"/>
    <w:rsid w:val="006668EB"/>
    <w:rsid w:val="0066690A"/>
    <w:rsid w:val="006706B4"/>
    <w:rsid w:val="00670F3F"/>
    <w:rsid w:val="00674062"/>
    <w:rsid w:val="00691D72"/>
    <w:rsid w:val="006948C8"/>
    <w:rsid w:val="006A7555"/>
    <w:rsid w:val="006A781C"/>
    <w:rsid w:val="006B27D8"/>
    <w:rsid w:val="006B524A"/>
    <w:rsid w:val="006C0A15"/>
    <w:rsid w:val="006C2371"/>
    <w:rsid w:val="006C26AB"/>
    <w:rsid w:val="006C5167"/>
    <w:rsid w:val="006C5580"/>
    <w:rsid w:val="006D7D91"/>
    <w:rsid w:val="006F7547"/>
    <w:rsid w:val="007031C4"/>
    <w:rsid w:val="007057BF"/>
    <w:rsid w:val="00715EC8"/>
    <w:rsid w:val="007548D6"/>
    <w:rsid w:val="00760B13"/>
    <w:rsid w:val="00762FC1"/>
    <w:rsid w:val="007901F7"/>
    <w:rsid w:val="0079493C"/>
    <w:rsid w:val="007B5D30"/>
    <w:rsid w:val="007B6204"/>
    <w:rsid w:val="007C0AD8"/>
    <w:rsid w:val="007C3558"/>
    <w:rsid w:val="007E0B50"/>
    <w:rsid w:val="007E3A8D"/>
    <w:rsid w:val="007F4DC6"/>
    <w:rsid w:val="007F7305"/>
    <w:rsid w:val="00842652"/>
    <w:rsid w:val="00864A38"/>
    <w:rsid w:val="00871D2E"/>
    <w:rsid w:val="00872A5B"/>
    <w:rsid w:val="008757EB"/>
    <w:rsid w:val="00876FA5"/>
    <w:rsid w:val="0088328B"/>
    <w:rsid w:val="00884D52"/>
    <w:rsid w:val="008B5C58"/>
    <w:rsid w:val="008D6376"/>
    <w:rsid w:val="008E2D10"/>
    <w:rsid w:val="00901724"/>
    <w:rsid w:val="00914DED"/>
    <w:rsid w:val="009170C4"/>
    <w:rsid w:val="009222A7"/>
    <w:rsid w:val="009315F6"/>
    <w:rsid w:val="00952AB8"/>
    <w:rsid w:val="009635C9"/>
    <w:rsid w:val="00971878"/>
    <w:rsid w:val="00977AF7"/>
    <w:rsid w:val="00996625"/>
    <w:rsid w:val="009A049C"/>
    <w:rsid w:val="009A389E"/>
    <w:rsid w:val="009B32A5"/>
    <w:rsid w:val="009B72BB"/>
    <w:rsid w:val="009C5D25"/>
    <w:rsid w:val="009D148C"/>
    <w:rsid w:val="009D1804"/>
    <w:rsid w:val="009D2E87"/>
    <w:rsid w:val="009D3012"/>
    <w:rsid w:val="009E4D5E"/>
    <w:rsid w:val="009F2CDA"/>
    <w:rsid w:val="00A00F9B"/>
    <w:rsid w:val="00A01CCA"/>
    <w:rsid w:val="00A25830"/>
    <w:rsid w:val="00A31631"/>
    <w:rsid w:val="00A32E92"/>
    <w:rsid w:val="00A70977"/>
    <w:rsid w:val="00A74047"/>
    <w:rsid w:val="00A81E54"/>
    <w:rsid w:val="00A90D6D"/>
    <w:rsid w:val="00AC0D38"/>
    <w:rsid w:val="00AD2975"/>
    <w:rsid w:val="00B06019"/>
    <w:rsid w:val="00B14E6E"/>
    <w:rsid w:val="00B319A2"/>
    <w:rsid w:val="00B371CD"/>
    <w:rsid w:val="00B43697"/>
    <w:rsid w:val="00BA4A8A"/>
    <w:rsid w:val="00BD2C69"/>
    <w:rsid w:val="00BE5B05"/>
    <w:rsid w:val="00BF4D62"/>
    <w:rsid w:val="00BF7105"/>
    <w:rsid w:val="00C03170"/>
    <w:rsid w:val="00C03A5B"/>
    <w:rsid w:val="00C1324F"/>
    <w:rsid w:val="00C207DC"/>
    <w:rsid w:val="00C253DA"/>
    <w:rsid w:val="00C3281D"/>
    <w:rsid w:val="00C40BBC"/>
    <w:rsid w:val="00C446DE"/>
    <w:rsid w:val="00C448C0"/>
    <w:rsid w:val="00C51938"/>
    <w:rsid w:val="00C534F5"/>
    <w:rsid w:val="00C562C3"/>
    <w:rsid w:val="00C642A3"/>
    <w:rsid w:val="00C66758"/>
    <w:rsid w:val="00C67A90"/>
    <w:rsid w:val="00C740E9"/>
    <w:rsid w:val="00C81A64"/>
    <w:rsid w:val="00CB1373"/>
    <w:rsid w:val="00CF56D8"/>
    <w:rsid w:val="00CF7595"/>
    <w:rsid w:val="00D01CEE"/>
    <w:rsid w:val="00D26974"/>
    <w:rsid w:val="00D34466"/>
    <w:rsid w:val="00D4145D"/>
    <w:rsid w:val="00D5210A"/>
    <w:rsid w:val="00D530C8"/>
    <w:rsid w:val="00D5330D"/>
    <w:rsid w:val="00DA7956"/>
    <w:rsid w:val="00DB1C1A"/>
    <w:rsid w:val="00DD5F6E"/>
    <w:rsid w:val="00DE109F"/>
    <w:rsid w:val="00DE1D6B"/>
    <w:rsid w:val="00DE7953"/>
    <w:rsid w:val="00E211F3"/>
    <w:rsid w:val="00E23B68"/>
    <w:rsid w:val="00E23E6F"/>
    <w:rsid w:val="00E30A47"/>
    <w:rsid w:val="00E643F1"/>
    <w:rsid w:val="00E7209A"/>
    <w:rsid w:val="00E74727"/>
    <w:rsid w:val="00E86A1F"/>
    <w:rsid w:val="00E8775A"/>
    <w:rsid w:val="00E9006A"/>
    <w:rsid w:val="00E91F9E"/>
    <w:rsid w:val="00E9538B"/>
    <w:rsid w:val="00EB4CCF"/>
    <w:rsid w:val="00ED332D"/>
    <w:rsid w:val="00F0036C"/>
    <w:rsid w:val="00F04EFA"/>
    <w:rsid w:val="00F151D5"/>
    <w:rsid w:val="00F23E68"/>
    <w:rsid w:val="00F27532"/>
    <w:rsid w:val="00F30D59"/>
    <w:rsid w:val="00F369B4"/>
    <w:rsid w:val="00F36CE0"/>
    <w:rsid w:val="00F65067"/>
    <w:rsid w:val="00F6612D"/>
    <w:rsid w:val="00FA0C25"/>
    <w:rsid w:val="00FA4160"/>
    <w:rsid w:val="00FB6D1E"/>
    <w:rsid w:val="00FB7BD2"/>
    <w:rsid w:val="00FC54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6B2D0"/>
  <w15:chartTrackingRefBased/>
  <w15:docId w15:val="{7EF9E0F2-CE4A-49D8-8AFC-469FC98B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90A"/>
    <w:pPr>
      <w:ind w:left="720"/>
      <w:contextualSpacing/>
    </w:pPr>
  </w:style>
  <w:style w:type="character" w:styleId="Emphasis">
    <w:name w:val="Emphasis"/>
    <w:basedOn w:val="DefaultParagraphFont"/>
    <w:uiPriority w:val="20"/>
    <w:qFormat/>
    <w:rsid w:val="00235CA0"/>
    <w:rPr>
      <w:i/>
      <w:iCs/>
    </w:rPr>
  </w:style>
  <w:style w:type="character" w:styleId="CommentReference">
    <w:name w:val="annotation reference"/>
    <w:basedOn w:val="DefaultParagraphFont"/>
    <w:uiPriority w:val="99"/>
    <w:semiHidden/>
    <w:unhideWhenUsed/>
    <w:rsid w:val="00385BD4"/>
    <w:rPr>
      <w:sz w:val="16"/>
      <w:szCs w:val="16"/>
    </w:rPr>
  </w:style>
  <w:style w:type="paragraph" w:styleId="CommentText">
    <w:name w:val="annotation text"/>
    <w:basedOn w:val="Normal"/>
    <w:link w:val="CommentTextChar"/>
    <w:uiPriority w:val="99"/>
    <w:unhideWhenUsed/>
    <w:rsid w:val="00385BD4"/>
    <w:pPr>
      <w:spacing w:line="240" w:lineRule="auto"/>
    </w:pPr>
    <w:rPr>
      <w:sz w:val="20"/>
      <w:szCs w:val="20"/>
    </w:rPr>
  </w:style>
  <w:style w:type="character" w:customStyle="1" w:styleId="CommentTextChar">
    <w:name w:val="Comment Text Char"/>
    <w:basedOn w:val="DefaultParagraphFont"/>
    <w:link w:val="CommentText"/>
    <w:uiPriority w:val="99"/>
    <w:rsid w:val="00385BD4"/>
    <w:rPr>
      <w:sz w:val="20"/>
      <w:szCs w:val="20"/>
    </w:rPr>
  </w:style>
  <w:style w:type="paragraph" w:styleId="CommentSubject">
    <w:name w:val="annotation subject"/>
    <w:basedOn w:val="CommentText"/>
    <w:next w:val="CommentText"/>
    <w:link w:val="CommentSubjectChar"/>
    <w:uiPriority w:val="99"/>
    <w:semiHidden/>
    <w:unhideWhenUsed/>
    <w:rsid w:val="00385BD4"/>
    <w:rPr>
      <w:b/>
      <w:bCs/>
    </w:rPr>
  </w:style>
  <w:style w:type="character" w:customStyle="1" w:styleId="CommentSubjectChar">
    <w:name w:val="Comment Subject Char"/>
    <w:basedOn w:val="CommentTextChar"/>
    <w:link w:val="CommentSubject"/>
    <w:uiPriority w:val="99"/>
    <w:semiHidden/>
    <w:rsid w:val="00385BD4"/>
    <w:rPr>
      <w:b/>
      <w:bCs/>
      <w:sz w:val="20"/>
      <w:szCs w:val="20"/>
    </w:rPr>
  </w:style>
  <w:style w:type="paragraph" w:styleId="Revision">
    <w:name w:val="Revision"/>
    <w:hidden/>
    <w:uiPriority w:val="99"/>
    <w:semiHidden/>
    <w:rsid w:val="00B43697"/>
    <w:pPr>
      <w:spacing w:after="0" w:line="240" w:lineRule="auto"/>
    </w:pPr>
  </w:style>
  <w:style w:type="paragraph" w:customStyle="1" w:styleId="pf0">
    <w:name w:val="pf0"/>
    <w:basedOn w:val="Normal"/>
    <w:rsid w:val="00657288"/>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cf01">
    <w:name w:val="cf01"/>
    <w:basedOn w:val="DefaultParagraphFont"/>
    <w:rsid w:val="00657288"/>
    <w:rPr>
      <w:rFonts w:ascii="Segoe UI" w:hAnsi="Segoe UI" w:cs="Segoe UI" w:hint="default"/>
      <w:sz w:val="18"/>
      <w:szCs w:val="18"/>
    </w:rPr>
  </w:style>
  <w:style w:type="paragraph" w:styleId="Header">
    <w:name w:val="header"/>
    <w:basedOn w:val="Normal"/>
    <w:link w:val="HeaderChar"/>
    <w:uiPriority w:val="99"/>
    <w:unhideWhenUsed/>
    <w:rsid w:val="00C81A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A64"/>
  </w:style>
  <w:style w:type="paragraph" w:styleId="Footer">
    <w:name w:val="footer"/>
    <w:basedOn w:val="Normal"/>
    <w:link w:val="FooterChar"/>
    <w:uiPriority w:val="99"/>
    <w:unhideWhenUsed/>
    <w:rsid w:val="00C81A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A64"/>
  </w:style>
  <w:style w:type="paragraph" w:styleId="NoSpacing">
    <w:name w:val="No Spacing"/>
    <w:uiPriority w:val="1"/>
    <w:qFormat/>
    <w:rsid w:val="00FB7BD2"/>
    <w:pPr>
      <w:spacing w:after="0" w:line="240" w:lineRule="auto"/>
    </w:pPr>
  </w:style>
  <w:style w:type="character" w:styleId="Hyperlink">
    <w:name w:val="Hyperlink"/>
    <w:basedOn w:val="DefaultParagraphFont"/>
    <w:uiPriority w:val="99"/>
    <w:semiHidden/>
    <w:unhideWhenUsed/>
    <w:rsid w:val="006740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8119">
      <w:bodyDiv w:val="1"/>
      <w:marLeft w:val="0"/>
      <w:marRight w:val="0"/>
      <w:marTop w:val="0"/>
      <w:marBottom w:val="0"/>
      <w:divBdr>
        <w:top w:val="none" w:sz="0" w:space="0" w:color="auto"/>
        <w:left w:val="none" w:sz="0" w:space="0" w:color="auto"/>
        <w:bottom w:val="none" w:sz="0" w:space="0" w:color="auto"/>
        <w:right w:val="none" w:sz="0" w:space="0" w:color="auto"/>
      </w:divBdr>
    </w:div>
    <w:div w:id="78526270">
      <w:bodyDiv w:val="1"/>
      <w:marLeft w:val="0"/>
      <w:marRight w:val="0"/>
      <w:marTop w:val="0"/>
      <w:marBottom w:val="0"/>
      <w:divBdr>
        <w:top w:val="none" w:sz="0" w:space="0" w:color="auto"/>
        <w:left w:val="none" w:sz="0" w:space="0" w:color="auto"/>
        <w:bottom w:val="none" w:sz="0" w:space="0" w:color="auto"/>
        <w:right w:val="none" w:sz="0" w:space="0" w:color="auto"/>
      </w:divBdr>
    </w:div>
    <w:div w:id="210842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ourts Service Template">
      <a:dk1>
        <a:sysClr val="windowText" lastClr="000000"/>
      </a:dk1>
      <a:lt1>
        <a:sysClr val="window" lastClr="FFFFFF"/>
      </a:lt1>
      <a:dk2>
        <a:srgbClr val="44546A"/>
      </a:dk2>
      <a:lt2>
        <a:srgbClr val="E7E6E6"/>
      </a:lt2>
      <a:accent1>
        <a:srgbClr val="0070AF"/>
      </a:accent1>
      <a:accent2>
        <a:srgbClr val="DD0000"/>
      </a:accent2>
      <a:accent3>
        <a:srgbClr val="009CB0"/>
      </a:accent3>
      <a:accent4>
        <a:srgbClr val="EBAB21"/>
      </a:accent4>
      <a:accent5>
        <a:srgbClr val="985EFF"/>
      </a:accent5>
      <a:accent6>
        <a:srgbClr val="178022"/>
      </a:accent6>
      <a:hlink>
        <a:srgbClr val="003657"/>
      </a:hlink>
      <a:folHlink>
        <a:srgbClr val="00C4B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CA46B-99EC-47C2-8B55-8ADA89179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Links>
    <vt:vector size="6" baseType="variant">
      <vt:variant>
        <vt:i4>1703943</vt:i4>
      </vt:variant>
      <vt:variant>
        <vt:i4>0</vt:i4>
      </vt:variant>
      <vt:variant>
        <vt:i4>0</vt:i4>
      </vt:variant>
      <vt:variant>
        <vt:i4>5</vt:i4>
      </vt:variant>
      <vt:variant>
        <vt:lpwstr>https://fra.europa.eu/en/eu-charter/article/51-field-application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Majella Votta</dc:creator>
  <cp:keywords/>
  <dc:description/>
  <cp:lastModifiedBy>Liis Lindström</cp:lastModifiedBy>
  <cp:revision>4</cp:revision>
  <dcterms:created xsi:type="dcterms:W3CDTF">2025-01-21T09:08:00Z</dcterms:created>
  <dcterms:modified xsi:type="dcterms:W3CDTF">2025-01-21T11:56:00Z</dcterms:modified>
</cp:coreProperties>
</file>